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This resource represents a client linked to an entity, to be used in the client</w:t>
      </w:r>
      <w:r>
        <w:t xml:space="preserve"> </w:t>
      </w:r>
      <w:r>
        <w:t xml:space="preserve">credentials and JWT grant authentication methods.</w:t>
      </w:r>
    </w:p>
    <w:p>
      <w:pPr>
        <w:pStyle w:val="BodyText"/>
      </w:pPr>
      <w:r>
        <w:t xml:space="preserve">The main purpose of this resource is to enable machine access to the API.</w:t>
      </w:r>
      <w:r>
        <w:t xml:space="preserve"> </w:t>
      </w:r>
      <w:r>
        <w:t xml:space="preserve">A program connecting to the API will use one of the clients present on the</w:t>
      </w:r>
      <w:r>
        <w:t xml:space="preserve"> </w:t>
      </w:r>
      <w:r>
        <w:t xml:space="preserve">entity.</w:t>
      </w:r>
      <w:r>
        <w:t xml:space="preserve"> </w:t>
      </w:r>
      <w:r>
        <w:t xml:space="preserve">It will thereby get the possibility to act as the party referenced in the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field, with the authorisations listed in the client’s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.</w:t>
      </w:r>
    </w:p>
    <w:p>
      <w:pPr>
        <w:pStyle w:val="BodyText"/>
      </w:pPr>
      <w:r>
        <w:t xml:space="preserve">Entity clients are secured by a password in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associated to the private key JWTs sent to the JWT grant authentication will</w:t>
      </w:r>
      <w:r>
        <w:t xml:space="preserve"> </w:t>
      </w:r>
      <w:r>
        <w:t xml:space="preserve">be signed with.</w:t>
      </w:r>
    </w:p>
    <w:p>
      <w:pPr>
        <w:pStyle w:val="BodyText"/>
      </w:pPr>
      <w:r>
        <w:t xml:space="preserve">An entity can have several clients registered, typically an organisation entity</w:t>
      </w:r>
      <w:r>
        <w:t xml:space="preserve"> </w:t>
      </w:r>
      <w:r>
        <w:t xml:space="preserve">with one client per enterprise machine expected to use the API in an automated</w:t>
      </w:r>
      <w:r>
        <w:t xml:space="preserve"> </w:t>
      </w:r>
      <w:r>
        <w:t xml:space="preserve">way.</w:t>
      </w:r>
    </w:p>
    <w:bookmarkStart w:id="20" w:name="example"/>
    <w:p>
      <w:pPr>
        <w:pStyle w:val="Overskrift2"/>
      </w:pPr>
      <w:r>
        <w:t xml:space="preserve">Example</w:t>
      </w:r>
    </w:p>
    <w:p>
      <w:pPr>
        <w:pStyle w:val="FirstParagraph"/>
      </w:pPr>
      <w:r>
        <w:t xml:space="preserve">Let us take the case of a system operator organisation called</w:t>
      </w:r>
      <w:r>
        <w:t xml:space="preserve"> </w:t>
      </w:r>
      <w:r>
        <w:t xml:space="preserve">“Testnett AS”</w:t>
      </w:r>
      <w:r>
        <w:t xml:space="preserve">.</w:t>
      </w:r>
      <w:r>
        <w:t xml:space="preserve"> </w:t>
      </w:r>
      <w:r>
        <w:t xml:space="preserve">They have an organisation entity registered in the FIS and a party of type</w:t>
      </w:r>
      <w:r>
        <w:t xml:space="preserve"> </w:t>
      </w:r>
      <w:r>
        <w:rPr>
          <w:rStyle w:val="VerbatimChar"/>
        </w:rPr>
        <w:t xml:space="preserve">system_operator</w:t>
      </w:r>
      <w:r>
        <w:t xml:space="preserve"> </w:t>
      </w:r>
      <w:r>
        <w:t xml:space="preserve">to be able to act in the system accordingly.</w:t>
      </w:r>
    </w:p>
    <w:p>
      <w:pPr>
        <w:pStyle w:val="BodyText"/>
      </w:pPr>
      <w:r>
        <w:t xml:space="preserve">Imagine they want to allow API access to one of their data engineers, not to</w:t>
      </w:r>
      <w:r>
        <w:t xml:space="preserve"> </w:t>
      </w:r>
      <w:r>
        <w:t xml:space="preserve">interact with the system, but just to perform some data analytics.</w:t>
      </w:r>
      <w:r>
        <w:t xml:space="preserve"> </w:t>
      </w:r>
      <w:r>
        <w:t xml:space="preserve">This is possible by creating an entity client:</w:t>
      </w:r>
    </w:p>
    <w:p>
      <w:pPr>
        <w:pStyle w:val="Compact"/>
        <w:numPr>
          <w:ilvl w:val="0"/>
          <w:numId w:val="1001"/>
        </w:numPr>
      </w:pPr>
      <w:r>
        <w:t xml:space="preserve">tied to the organisation entity (</w:t>
      </w:r>
      <w:r>
        <w:rPr>
          <w:rStyle w:val="VerbatimChar"/>
        </w:rPr>
        <w:t xml:space="preserve">entity_id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allowing access to the SO party (</w:t>
      </w:r>
      <w:r>
        <w:rPr>
          <w:rStyle w:val="VerbatimChar"/>
        </w:rPr>
        <w:t xml:space="preserve">party_id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read-only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 </w:t>
      </w:r>
      <w:r>
        <w:t xml:space="preserve">to make sure the data engineer does not edit any</w:t>
      </w:r>
      <w:r>
        <w:t xml:space="preserve"> </w:t>
      </w:r>
      <w:r>
        <w:t xml:space="preserve">data currently in use (for instance</w:t>
      </w:r>
      <w:r>
        <w:t xml:space="preserve"> </w:t>
      </w:r>
      <w:r>
        <w:rPr>
          <w:rStyle w:val="VerbatimChar"/>
        </w:rPr>
        <w:t xml:space="preserve">read:data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a public key freshly generated in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(the private key will be</w:t>
      </w:r>
      <w:r>
        <w:t xml:space="preserve"> </w:t>
      </w:r>
      <w:r>
        <w:t xml:space="preserve">given to the data engineer).</w:t>
      </w:r>
    </w:p>
    <w:p>
      <w:pPr>
        <w:pStyle w:val="FirstParagraph"/>
      </w:pPr>
      <w:r>
        <w:t xml:space="preserve">Then, the target person will just have to use the JWT grant authentication</w:t>
      </w:r>
      <w:r>
        <w:t xml:space="preserve"> </w:t>
      </w:r>
      <w:r>
        <w:t xml:space="preserve">method with a JWT asking for access to the SO party through the entity client</w:t>
      </w:r>
      <w:r>
        <w:t xml:space="preserve"> </w:t>
      </w:r>
      <w:r>
        <w:t xml:space="preserve">they received (identified by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in the JWT claims).</w:t>
      </w:r>
      <w:r>
        <w:t xml:space="preserve"> </w:t>
      </w:r>
      <w:r>
        <w:t xml:space="preserve">The JWT will have to be signed with the private key corresponding to the public</w:t>
      </w:r>
      <w:r>
        <w:t xml:space="preserve"> </w:t>
      </w:r>
      <w:r>
        <w:t xml:space="preserve">key stored in the entity client.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4657"/>
        <w:gridCol w:w="1593"/>
        <w:gridCol w:w="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entity_client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entity_client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2026-02-10T12:59:40Z</dcterms:created>
  <dcterms:modified xsi:type="dcterms:W3CDTF">2026-02-10T12:59:40Z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