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"/>
    <w:p>
      <w:pPr>
        <w:pStyle w:val="Overskrift1"/>
      </w:pPr>
      <w:r>
        <w:t xml:space="preserve">Accounting Point</w:t>
      </w:r>
    </w:p>
    <w:p>
      <w:pPr>
        <w:pStyle w:val="FirstParagraph"/>
      </w:pPr>
      <w:r>
        <w:t xml:space="preserve">A metering point where the consumption or production of electricity is measured</w:t>
      </w:r>
      <w:r>
        <w:t xml:space="preserve"> </w:t>
      </w:r>
      <w:r>
        <w:t xml:space="preserve">and settled.</w:t>
      </w:r>
    </w:p>
    <w:p>
      <w:pPr>
        <w:pStyle w:val="BodyText"/>
      </w:pPr>
      <w:r>
        <w:t xml:space="preserve">Provides a way for parties to identify the system operator of the accounting point.</w:t>
      </w:r>
    </w:p>
    <w:p>
      <w:pPr>
        <w:pStyle w:val="BodyText"/>
      </w:pPr>
      <w:r>
        <w:t xml:space="preserve">Data from Elhub.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The business identifier is the GSRN metering point id.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98"/>
        <w:gridCol w:w="2216"/>
        <w:gridCol w:w="1694"/>
        <w:gridCol w:w="10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GSRN metering point id of the accounting point.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^[1-9][0-9]{17}$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The system operator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AP-COM001</w:t>
            </w:r>
          </w:p>
        </w:tc>
        <w:tc>
          <w:tcPr/>
          <w:p>
            <w:pPr>
              <w:pStyle w:val="Compact"/>
            </w:pPr>
            <w:r>
              <w:t xml:space="preserve">Read all accounting points.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2025-10-24T12:19:55Z</dcterms:created>
  <dcterms:modified xsi:type="dcterms:W3CDTF">2025-10-24T12:19:55Z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