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2" w:name="controllable-unit"/>
    <w:p>
      <w:pPr>
        <w:pStyle w:val="Overskrift1"/>
      </w:pPr>
      <w:r>
        <w:t xml:space="preserve">Controllable Unit</w:t>
      </w:r>
    </w:p>
    <w:p>
      <w:pPr>
        <w:pStyle w:val="FirstParagraph"/>
      </w:pPr>
      <w:r>
        <w:t xml:space="preserve">A controllable unit is defined as</w:t>
      </w:r>
      <w:r>
        <w:t xml:space="preserve"> </w:t>
      </w:r>
      <w:r>
        <w:t xml:space="preserve">“a single power-generating module and/or</w:t>
      </w:r>
      <w:r>
        <w:t xml:space="preserve"> </w:t>
      </w:r>
      <w:r>
        <w:t xml:space="preserve">demand unit”</w:t>
      </w:r>
      <w:r>
        <w:t xml:space="preserve"> </w:t>
      </w:r>
      <w:r>
        <w:t xml:space="preserve">in</w:t>
      </w:r>
      <w:r>
        <w:t xml:space="preserve"> </w:t>
      </w:r>
      <w:hyperlink r:id="rId20">
        <w:r>
          <w:rPr>
            <w:rStyle w:val="Hyperkobling"/>
          </w:rPr>
          <w:t xml:space="preserve">public consultation on the draft network code on demand response</w:t>
        </w:r>
      </w:hyperlink>
      <w:r>
        <w:t xml:space="preserve">.</w:t>
      </w:r>
    </w:p>
    <w:p>
      <w:pPr>
        <w:pStyle w:val="BodyText"/>
      </w:pPr>
      <w:r>
        <w:t xml:space="preserve">The controllable unit is connected to a single accounting point. This</w:t>
      </w:r>
      <w:r>
        <w:t xml:space="preserve"> </w:t>
      </w:r>
      <w:r>
        <w:t xml:space="preserve">restriction is there to provide a unambiguous connection between the</w:t>
      </w:r>
      <w:r>
        <w:t xml:space="preserve"> </w:t>
      </w:r>
      <w:r>
        <w:t xml:space="preserve">controllable unit and the balance responsible party of the energy supplier. This</w:t>
      </w:r>
      <w:r>
        <w:t xml:space="preserve"> </w:t>
      </w:r>
      <w:r>
        <w:t xml:space="preserve">enables us to do imbalance adjustment.</w:t>
      </w:r>
    </w:p>
    <w:p>
      <w:pPr>
        <w:pStyle w:val="BodyText"/>
      </w:pPr>
      <w:r>
        <w:t xml:space="preserve">The accounting point is also used to determine the locational information of the</w:t>
      </w:r>
      <w:r>
        <w:t xml:space="preserve"> </w:t>
      </w:r>
      <w:r>
        <w:t xml:space="preserve">controllable unit.</w:t>
      </w:r>
    </w:p>
    <w:bookmarkStart w:id="21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Controllable units are identified by a UUID. UUID are simple and easy to</w:t>
      </w:r>
      <w:r>
        <w:t xml:space="preserve"> </w:t>
      </w:r>
      <w:r>
        <w:t xml:space="preserve">generate and requires no coordination with external bodies (like GS1 or</w:t>
      </w:r>
      <w:r>
        <w:t xml:space="preserve"> </w:t>
      </w:r>
      <w:r>
        <w:t xml:space="preserve">ENTSO-E). It is a un-complicated way to ensure uniqueness.</w:t>
      </w:r>
    </w:p>
    <w:p>
      <w:pPr>
        <w:pStyle w:val="BodyText"/>
      </w:pPr>
      <w:r>
        <w:t xml:space="preserve">The UUIDs are generated by the system when a CU is created.</w:t>
      </w:r>
    </w:p>
    <w:bookmarkEnd w:id="21"/>
    <w:bookmarkStart w:id="25" w:name="status-transitions-for-grid-validation"/>
    <w:p>
      <w:pPr>
        <w:pStyle w:val="Overskrift2"/>
      </w:pPr>
      <w:r>
        <w:t xml:space="preserve">Status transitions for grid validation</w:t>
      </w:r>
    </w:p>
    <w:p>
      <w:pPr>
        <w:pStyle w:val="FirstParagraph"/>
      </w:pPr>
      <w:r>
        <w:t xml:space="preserve">The following diagram shows the transitions for the grid validation status of</w:t>
      </w:r>
      <w:r>
        <w:t xml:space="preserve"> </w:t>
      </w:r>
      <w:r>
        <w:t xml:space="preserve">controllable units.</w:t>
      </w:r>
      <w:r>
        <w:t xml:space="preserve"> </w:t>
      </w:r>
      <w:r>
        <w:t xml:space="preserve">It normally starts as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, then the system operator takes over to conclude</w:t>
      </w:r>
      <w:r>
        <w:t xml:space="preserve"> </w:t>
      </w:r>
      <w:r>
        <w:t xml:space="preserve">on their validation or signal that information is missing.</w:t>
      </w:r>
      <w:r>
        <w:t xml:space="preserve"> </w:t>
      </w:r>
      <w:r>
        <w:t xml:space="preserve">On any change to a technical information on a controllable unit or one of its</w:t>
      </w:r>
      <w:r>
        <w:t xml:space="preserve"> </w:t>
      </w:r>
      <w:r>
        <w:t xml:space="preserve">technical resources, the grid validation status is reset to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 </w:t>
      </w:r>
      <w:r>
        <w:t xml:space="preserve">if not already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 </w:t>
      </w:r>
      <w:r>
        <w:t xml:space="preserve">or in statuses</w:t>
      </w:r>
      <w:r>
        <w:t xml:space="preserve"> </w:t>
      </w:r>
      <w:r>
        <w:rPr>
          <w:rStyle w:val="VerbatimChar"/>
        </w:rPr>
        <w:t xml:space="preserve">in_progress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validated</w:t>
      </w:r>
      <w:r>
        <w:t xml:space="preserve">.</w:t>
      </w:r>
    </w:p>
    <w:p>
      <w:pPr>
        <w:pStyle w:val="BodyText"/>
      </w:pPr>
      <w:r>
        <w:t xml:space="preserve">If the service provider significantly updates data on a controllable unit that</w:t>
      </w:r>
      <w:r>
        <w:t xml:space="preserve"> </w:t>
      </w:r>
      <w:r>
        <w:t xml:space="preserve">has already been</w:t>
      </w:r>
      <w:r>
        <w:t xml:space="preserve"> </w:t>
      </w:r>
      <w:r>
        <w:rPr>
          <w:rStyle w:val="VerbatimChar"/>
        </w:rPr>
        <w:t xml:space="preserve">validated</w:t>
      </w:r>
      <w:r>
        <w:t xml:space="preserve"> </w:t>
      </w:r>
      <w:r>
        <w:t xml:space="preserve">by CSO, then the CSO has the option to re-validate.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validated_at</w:t>
      </w:r>
      <w:r>
        <w:t xml:space="preserve"> </w:t>
      </w:r>
      <w:r>
        <w:t xml:space="preserve">field can be used in combination with history on the</w:t>
      </w:r>
      <w:r>
        <w:t xml:space="preserve"> </w:t>
      </w:r>
      <w:r>
        <w:t xml:space="preserve">controllable unit to determine if a significant change has occurred. The CSO can</w:t>
      </w:r>
      <w:r>
        <w:t xml:space="preserve"> </w:t>
      </w:r>
      <w:r>
        <w:t xml:space="preserve">then either reset the status before doing the validation or directly do the</w:t>
      </w:r>
      <w:r>
        <w:t xml:space="preserve"> </w:t>
      </w:r>
      <w:r>
        <w:t xml:space="preserve">validation and just update the</w:t>
      </w:r>
      <w:r>
        <w:t xml:space="preserve"> </w:t>
      </w:r>
      <w:r>
        <w:rPr>
          <w:rStyle w:val="VerbatimChar"/>
        </w:rPr>
        <w:t xml:space="preserve">validated_at</w:t>
      </w:r>
      <w:r>
        <w:t xml:space="preserve"> </w:t>
      </w:r>
      <w:r>
        <w:t xml:space="preserve">timestamp.</w:t>
      </w:r>
    </w:p>
    <w:p>
      <w:pPr>
        <w:pStyle w:val="BodyText"/>
      </w:pPr>
      <w:hyperlink r:id="rId22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Controllable Unit Registration Status</w:t>
            </w:r>
          </w:p>
        </w:tc>
      </w:tr>
    </w:tbl>
    <w:p>
      <w:pPr>
        <w:pStyle w:val="ImageCaption"/>
      </w:pPr>
      <w:r>
        <w:t xml:space="preserve">Controllable Unit Registration Status</w:t>
      </w:r>
    </w:p>
    <w:bookmarkEnd w:id="25"/>
    <w:bookmarkStart w:id="28" w:name="status-transitions-for-controllable-unit"/>
    <w:p>
      <w:pPr>
        <w:pStyle w:val="Overskrift2"/>
      </w:pPr>
      <w:r>
        <w:t xml:space="preserve">Status transitions for controllable unit</w:t>
      </w:r>
    </w:p>
    <w:p>
      <w:pPr>
        <w:pStyle w:val="FirstParagraph"/>
      </w:pPr>
      <w:r>
        <w:t xml:space="preserve">The following diagram shows the status and its transitions for controllable</w:t>
      </w:r>
      <w:r>
        <w:t xml:space="preserve"> </w:t>
      </w:r>
      <w:r>
        <w:t xml:space="preserve">unit.</w:t>
      </w:r>
      <w:r>
        <w:t xml:space="preserve"> </w:t>
      </w:r>
      <w:r>
        <w:t xml:space="preserve">The Service Provider is responsible for creating a new controllable unit.</w:t>
      </w:r>
      <w:r>
        <w:t xml:space="preserve"> </w:t>
      </w:r>
      <w:r>
        <w:t xml:space="preserve">Initially, the status is set to</w:t>
      </w:r>
      <w:r>
        <w:t xml:space="preserve"> </w:t>
      </w:r>
      <w:r>
        <w:t xml:space="preserve">“new.”</w:t>
      </w:r>
      <w:r>
        <w:t xml:space="preserve"> </w:t>
      </w:r>
      <w:r>
        <w:t xml:space="preserve">Once the CU registration is complete, the</w:t>
      </w:r>
      <w:r>
        <w:t xml:space="preserve"> </w:t>
      </w:r>
      <w:r>
        <w:t xml:space="preserve">Service Provider updates the status to</w:t>
      </w:r>
      <w:r>
        <w:t xml:space="preserve"> </w:t>
      </w:r>
      <w:r>
        <w:t xml:space="preserve">“active.”</w:t>
      </w:r>
      <w:r>
        <w:t xml:space="preserve"> </w:t>
      </w:r>
      <w:r>
        <w:t xml:space="preserve">After termination, the status</w:t>
      </w:r>
      <w:r>
        <w:t xml:space="preserve"> </w:t>
      </w:r>
      <w:r>
        <w:t xml:space="preserve">can only be edited by a FIS operator.</w:t>
      </w:r>
    </w:p>
    <w:p>
      <w:pPr>
        <w:pStyle w:val="BodyText"/>
      </w:pPr>
      <w:hyperlink r:id="rId26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7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Controllable Unit Registration Status</w:t>
            </w:r>
          </w:p>
        </w:tc>
      </w:tr>
    </w:tbl>
    <w:p>
      <w:pPr>
        <w:pStyle w:val="ImageCaption"/>
      </w:pPr>
      <w:r>
        <w:t xml:space="preserve">Controllable Unit Registration Status</w:t>
      </w:r>
    </w:p>
    <w:bookmarkEnd w:id="28"/>
    <w:bookmarkStart w:id="31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kobling"/>
          </w:rPr>
          <w:t xml:space="preserve">Download docx</w:t>
        </w:r>
      </w:hyperlink>
    </w:p>
    <w:bookmarkEnd w:id="31"/>
    <w:bookmarkStart w:id="33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11"/>
        <w:gridCol w:w="2681"/>
        <w:gridCol w:w="2890"/>
        <w:gridCol w:w="7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Unique business identifier for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^[0-9a-f]{8}-[0-9a-f]{4}-4[0-9a-f]{3}-[89ab][0-9a-f]{3}-[0-9a-f]{12}$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Free text name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start_date</w:t>
            </w:r>
          </w:p>
        </w:tc>
        <w:tc>
          <w:tcPr/>
          <w:p>
            <w:pPr>
              <w:pStyle w:val="Compact"/>
            </w:pPr>
            <w:r>
              <w:t xml:space="preserve">The usage date when the controllable unit is first active.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 </w:t>
            </w:r>
            <w:r>
              <w:t xml:space="preserve">when created. Can then be updated to the other values. Once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, only editable by a FIS operator.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regulation_direction</w:t>
            </w:r>
          </w:p>
        </w:tc>
        <w:tc>
          <w:tcPr/>
          <w:p>
            <w:pPr>
              <w:pStyle w:val="Compact"/>
            </w:pPr>
            <w:r>
              <w:t xml:space="preserve">The regulation direction of the controllable unit.</w:t>
            </w:r>
            <w:r>
              <w:t xml:space="preserve"> </w:t>
            </w:r>
            <w:r>
              <w:rPr>
                <w:rStyle w:val="VerbatimChar"/>
              </w:rPr>
              <w:t xml:space="preserve">up</w:t>
            </w:r>
            <w:r>
              <w:t xml:space="preserve"> </w:t>
            </w:r>
            <w:r>
              <w:t xml:space="preserve">means it can be used to increase production or decrease consumption, while</w:t>
            </w:r>
            <w:r>
              <w:t xml:space="preserve"> </w:t>
            </w:r>
            <w:r>
              <w:rPr>
                <w:rStyle w:val="VerbatimChar"/>
              </w:rPr>
              <w:t xml:space="preserve">down</w:t>
            </w:r>
            <w:r>
              <w:t xml:space="preserve"> </w:t>
            </w:r>
            <w:r>
              <w:t xml:space="preserve">means to decrease production or increase consumption.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up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down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both</w:t>
            </w:r>
            <w:r>
              <w:t xml:space="preserve">Required</w:t>
            </w:r>
            <w:r>
              <w:rPr>
                <w:rStyle w:val="VerbatimChar"/>
              </w:rPr>
              <w:t xml:space="preserve">up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maximum_available_capacity</w:t>
            </w:r>
          </w:p>
        </w:tc>
        <w:tc>
          <w:tcPr/>
          <w:p>
            <w:pPr>
              <w:pStyle w:val="Compact"/>
            </w:pPr>
            <w:r>
              <w:t xml:space="preserve">Maximum continuous active power that the controllable unit can produce or consume, i.e. deliver for balancing and congestion services, in kilowatts.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  <w:r>
              <w:t xml:space="preserve">Required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  <w:r>
              <w:t xml:space="preserve">Max:</w:t>
            </w:r>
            <w:r>
              <w:t xml:space="preserve"> </w:t>
            </w:r>
            <w:r>
              <w:rPr>
                <w:rStyle w:val="VerbatimChar"/>
              </w:rPr>
              <w:t xml:space="preserve">999999.999</w:t>
            </w:r>
            <w:r>
              <w:t xml:space="preserve">Multiple of: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is_small</w:t>
            </w:r>
          </w:p>
        </w:tc>
        <w:tc>
          <w:tcPr/>
          <w:p>
            <w:pPr>
              <w:pStyle w:val="Compact"/>
            </w:pPr>
            <w:r>
              <w:t xml:space="preserve">Whether the controllable unit is small or not, following NCDR.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minimum_duration</w:t>
            </w:r>
          </w:p>
        </w:tc>
        <w:tc>
          <w:tcPr/>
          <w:p>
            <w:pPr>
              <w:pStyle w:val="Compact"/>
            </w:pPr>
            <w:r>
              <w:t xml:space="preserve">The minimum activation duration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maximum_duration</w:t>
            </w:r>
          </w:p>
        </w:tc>
        <w:tc>
          <w:tcPr/>
          <w:p>
            <w:pPr>
              <w:pStyle w:val="Compact"/>
            </w:pPr>
            <w:r>
              <w:t xml:space="preserve">The maximum activation duration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recovery_duration</w:t>
            </w:r>
          </w:p>
        </w:tc>
        <w:tc>
          <w:tcPr/>
          <w:p>
            <w:pPr>
              <w:pStyle w:val="Compact"/>
            </w:pPr>
            <w:r>
              <w:t xml:space="preserve">The minimum recovery duration between activations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ramp_rate</w:t>
            </w:r>
          </w:p>
        </w:tc>
        <w:tc>
          <w:tcPr/>
          <w:p>
            <w:pPr>
              <w:pStyle w:val="Compact"/>
            </w:pPr>
            <w:r>
              <w:t xml:space="preserve">The rate of power per unit of time to reach empty or full power for the controllable unit, in kilowatts per minute.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  <w:r>
              <w:t xml:space="preserve">Multiple of: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Reference to the accounting point that the controllable unit is connected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32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grid_node_id</w:t>
            </w:r>
          </w:p>
        </w:tc>
        <w:tc>
          <w:tcPr/>
          <w:p>
            <w:pPr>
              <w:pStyle w:val="Compact"/>
            </w:pPr>
            <w:r>
              <w:t xml:space="preserve">Reference to the node that the controllable unit is connected to.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^[0-9a-f]{8}-[0-9a-f]{4}-4[0-9a-f]{3}-[89ab][0-9a-f]{3}-[0-9a-f]{12}$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grid_validation_status</w:t>
            </w:r>
          </w:p>
        </w:tc>
        <w:tc>
          <w:tcPr/>
          <w:p>
            <w:pPr>
              <w:pStyle w:val="Compact"/>
            </w:pPr>
            <w:r>
              <w:t xml:space="preserve">The grid validation status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pending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incomplete_information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validated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validation_failed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grid validation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validated_at</w:t>
            </w:r>
          </w:p>
        </w:tc>
        <w:tc>
          <w:tcPr/>
          <w:p>
            <w:pPr>
              <w:pStyle w:val="Compact"/>
            </w:pPr>
            <w:r>
              <w:t xml:space="preserve">When the controllable unit was last validated.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33"/>
    <w:bookmarkStart w:id="34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26"/>
        <w:gridCol w:w="6502"/>
        <w:gridCol w:w="39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CU-VAL001</w:t>
            </w:r>
          </w:p>
        </w:tc>
        <w:tc>
          <w:tcPr/>
          <w:p>
            <w:pPr>
              <w:pStyle w:val="Compact"/>
            </w:pPr>
            <w:r>
              <w:t xml:space="preserve">If both</w:t>
            </w:r>
            <w:r>
              <w:t xml:space="preserve"> </w:t>
            </w:r>
            <w:r>
              <w:rPr>
                <w:rStyle w:val="VerbatimChar"/>
              </w:rPr>
              <w:t xml:space="preserve">minimum_duration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maximum_duration</w:t>
            </w:r>
            <w:r>
              <w:t xml:space="preserve"> </w:t>
            </w:r>
            <w:r>
              <w:t xml:space="preserve">are specified, then the minimum duration must be lower than the maximum duration.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CU-VAL002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grid_validation_status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validated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validated_at</w:t>
            </w:r>
            <w:r>
              <w:t xml:space="preserve"> </w:t>
            </w:r>
            <w:r>
              <w:t xml:space="preserve">must already be specified in the resource or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CU-VAL003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grid_validation_status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validation_failed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validated_at</w:t>
            </w:r>
            <w:r>
              <w:t xml:space="preserve"> </w:t>
            </w:r>
            <w:r>
              <w:t xml:space="preserve">must be unset in the resource or by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End user of the accounting point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Active 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  <w:r>
              <w:t xml:space="preserve">When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35"/>
    <w:bookmarkStart w:id="51" w:name="authorization"/>
    <w:p>
      <w:pPr>
        <w:pStyle w:val="Overskrift2"/>
      </w:pPr>
      <w:r>
        <w:t xml:space="preserve">Authorization</w:t>
      </w:r>
    </w:p>
    <w:bookmarkStart w:id="48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6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7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7"/>
    <w:bookmarkStart w:id="38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8"/>
    <w:bookmarkStart w:id="39" w:name="balance-responsible-party"/>
    <w:p>
      <w:pPr>
        <w:pStyle w:val="Overskrift4"/>
      </w:pPr>
      <w:r>
        <w:t xml:space="preserve">Balance Responsible Party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48"/>
        <w:gridCol w:w="6505"/>
        <w:gridCol w:w="56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CU-BRP001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BRP.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CU-BRP002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BRP.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05"/>
        <w:gridCol w:w="6577"/>
        <w:gridCol w:w="5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CU-EU001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EU.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CU-EU002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EU.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energy-supplier"/>
    <w:p>
      <w:pPr>
        <w:pStyle w:val="Overskrift4"/>
      </w:pPr>
      <w:r>
        <w:t xml:space="preserve">Energy Supplier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56"/>
        <w:gridCol w:w="6492"/>
        <w:gridCol w:w="5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CU-ES001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ES.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CU-ES002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ES.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CU-FISO002</w:t>
            </w:r>
          </w:p>
        </w:tc>
        <w:tc>
          <w:tcPr/>
          <w:p>
            <w:pPr>
              <w:pStyle w:val="Compact"/>
            </w:pPr>
            <w:r>
              <w:t xml:space="preserve">Read all CU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market-operator"/>
    <w:p>
      <w:pPr>
        <w:pStyle w:val="Overskrift4"/>
      </w:pPr>
      <w:r>
        <w:t xml:space="preserve">Market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04"/>
        <w:gridCol w:w="6746"/>
        <w:gridCol w:w="46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CU-MO001</w:t>
            </w:r>
          </w:p>
        </w:tc>
        <w:tc>
          <w:tcPr/>
          <w:p>
            <w:pPr>
              <w:pStyle w:val="Compact"/>
            </w:pPr>
            <w:r>
              <w:t xml:space="preserve">Read CU that are connected to their market. Only for the period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CU-MO002</w:t>
            </w:r>
          </w:p>
        </w:tc>
        <w:tc>
          <w:tcPr/>
          <w:p>
            <w:pPr>
              <w:pStyle w:val="Compact"/>
            </w:pPr>
            <w:r>
              <w:t xml:space="preserve">Read history on CU that are connected to their market. Only history on the period the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</w:tbl>
    <w:bookmarkEnd w:id="43"/>
    <w:bookmarkStart w:id="44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4"/>
    <w:bookmarkStart w:id="45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59"/>
        <w:gridCol w:w="5988"/>
        <w:gridCol w:w="77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CU-SO001</w:t>
            </w:r>
          </w:p>
        </w:tc>
        <w:tc>
          <w:tcPr/>
          <w:p>
            <w:pPr>
              <w:pStyle w:val="Compact"/>
            </w:pPr>
            <w:r>
              <w:t xml:space="preserve">Read and update CU that are connected to AP belonging to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CU-SO002</w:t>
            </w:r>
          </w:p>
        </w:tc>
        <w:tc>
          <w:tcPr/>
          <w:p>
            <w:pPr>
              <w:pStyle w:val="Compact"/>
            </w:pPr>
            <w:r>
              <w:t xml:space="preserve">Read CU belonging to SPG that the SO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CU-SO003</w:t>
            </w:r>
          </w:p>
        </w:tc>
        <w:tc>
          <w:tcPr/>
          <w:p>
            <w:pPr>
              <w:pStyle w:val="Compact"/>
            </w:pPr>
            <w:r>
              <w:t xml:space="preserve">Read history on CU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5"/>
    <w:bookmarkStart w:id="46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CU-SP001</w:t>
            </w:r>
          </w:p>
        </w:tc>
        <w:tc>
          <w:tcPr/>
          <w:p>
            <w:pPr>
              <w:pStyle w:val="Compact"/>
            </w:pPr>
            <w:r>
              <w:t xml:space="preserve">Read CU data for the period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CU-SP002</w:t>
            </w:r>
          </w:p>
        </w:tc>
        <w:tc>
          <w:tcPr/>
          <w:p>
            <w:pPr>
              <w:pStyle w:val="Compact"/>
            </w:pPr>
            <w:r>
              <w:t xml:space="preserve">Create new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CU-SP003</w:t>
            </w:r>
          </w:p>
        </w:tc>
        <w:tc>
          <w:tcPr/>
          <w:p>
            <w:pPr>
              <w:pStyle w:val="Compact"/>
            </w:pPr>
            <w:r>
              <w:t xml:space="preserve">Update CU where they are current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CU-SP004</w:t>
            </w:r>
          </w:p>
        </w:tc>
        <w:tc>
          <w:tcPr/>
          <w:p>
            <w:pPr>
              <w:pStyle w:val="Compact"/>
            </w:pPr>
            <w:r>
              <w:t xml:space="preserve">Read CU history for the period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CU-SP005</w:t>
            </w:r>
          </w:p>
        </w:tc>
        <w:tc>
          <w:tcPr/>
          <w:p>
            <w:pPr>
              <w:pStyle w:val="Compact"/>
            </w:pPr>
            <w:r>
              <w:t xml:space="preserve">Read CU they created.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6"/>
    <w:bookmarkStart w:id="47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7"/>
    <w:bookmarkEnd w:id="48"/>
    <w:bookmarkStart w:id="50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9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56"/>
        <w:gridCol w:w="633"/>
        <w:gridCol w:w="528"/>
        <w:gridCol w:w="422"/>
        <w:gridCol w:w="422"/>
        <w:gridCol w:w="633"/>
        <w:gridCol w:w="422"/>
        <w:gridCol w:w="422"/>
        <w:gridCol w:w="528"/>
        <w:gridCol w:w="422"/>
        <w:gridCol w:w="5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regulation_direction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maximum_available_capacity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is_small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start_date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minimum_duration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recovery_duration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ramp_rate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grid_node_id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validated_at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50"/>
    <w:bookmarkEnd w:id="51"/>
    <w:bookmarkEnd w:id="52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9" Target="../api/v0/index.html#/operations/list_controllable_unit" TargetMode="External" /><Relationship Type="http://schemas.openxmlformats.org/officeDocument/2006/relationships/hyperlink" Id="rId23" Target="../diagrams/controllable_unit_grid_validation_status.plantuml" TargetMode="External" /><Relationship Type="http://schemas.openxmlformats.org/officeDocument/2006/relationships/hyperlink" Id="rId22" Target="../diagrams/controllable_unit_grid_validation_status.png" TargetMode="External" /><Relationship Type="http://schemas.openxmlformats.org/officeDocument/2006/relationships/hyperlink" Id="rId27" Target="../diagrams/controllable_unit_status.plantuml" TargetMode="External" /><Relationship Type="http://schemas.openxmlformats.org/officeDocument/2006/relationships/hyperlink" Id="rId26" Target="../diagrams/controllable_unit_status.png" TargetMode="External" /><Relationship Type="http://schemas.openxmlformats.org/officeDocument/2006/relationships/hyperlink" Id="rId30" Target="../download/controllable_unit.docx" TargetMode="External" /><Relationship Type="http://schemas.openxmlformats.org/officeDocument/2006/relationships/hyperlink" Id="rId49" Target="../technical/auth.md#party-market-actors" TargetMode="External" /><Relationship Type="http://schemas.openxmlformats.org/officeDocument/2006/relationships/hyperlink" Id="rId36" Target="../technical/auth.md#resource-level-authorization-rla" TargetMode="External" /><Relationship Type="http://schemas.openxmlformats.org/officeDocument/2006/relationships/hyperlink" Id="rId24" Target="./index.md#status" TargetMode="External" /><Relationship Type="http://schemas.openxmlformats.org/officeDocument/2006/relationships/hyperlink" Id="rId32" Target="accounting_point.md#field-id" TargetMode="External" /><Relationship Type="http://schemas.openxmlformats.org/officeDocument/2006/relationships/hyperlink" Id="rId20" Target="https://www.acer.europa.eu/documents/public-consultations/pc2024e07-public-consultation-draft-network-code-demand-respon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pi/v0/index.html#/operations/list_controllable_unit" TargetMode="External" /><Relationship Type="http://schemas.openxmlformats.org/officeDocument/2006/relationships/hyperlink" Id="rId23" Target="../diagrams/controllable_unit_grid_validation_status.plantuml" TargetMode="External" /><Relationship Type="http://schemas.openxmlformats.org/officeDocument/2006/relationships/hyperlink" Id="rId22" Target="../diagrams/controllable_unit_grid_validation_status.png" TargetMode="External" /><Relationship Type="http://schemas.openxmlformats.org/officeDocument/2006/relationships/hyperlink" Id="rId27" Target="../diagrams/controllable_unit_status.plantuml" TargetMode="External" /><Relationship Type="http://schemas.openxmlformats.org/officeDocument/2006/relationships/hyperlink" Id="rId26" Target="../diagrams/controllable_unit_status.png" TargetMode="External" /><Relationship Type="http://schemas.openxmlformats.org/officeDocument/2006/relationships/hyperlink" Id="rId30" Target="../download/controllable_unit.docx" TargetMode="External" /><Relationship Type="http://schemas.openxmlformats.org/officeDocument/2006/relationships/hyperlink" Id="rId49" Target="../technical/auth.md#party-market-actors" TargetMode="External" /><Relationship Type="http://schemas.openxmlformats.org/officeDocument/2006/relationships/hyperlink" Id="rId36" Target="../technical/auth.md#resource-level-authorization-rla" TargetMode="External" /><Relationship Type="http://schemas.openxmlformats.org/officeDocument/2006/relationships/hyperlink" Id="rId24" Target="./index.md#status" TargetMode="External" /><Relationship Type="http://schemas.openxmlformats.org/officeDocument/2006/relationships/hyperlink" Id="rId32" Target="accounting_point.md#field-id" TargetMode="External" /><Relationship Type="http://schemas.openxmlformats.org/officeDocument/2006/relationships/hyperlink" Id="rId20" Target="https://www.acer.europa.eu/documents/public-consultations/pc2024e07-public-consultation-draft-network-code-demand-response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2025-10-28T08:34:06Z</dcterms:created>
  <dcterms:modified xsi:type="dcterms:W3CDTF">2025-10-28T08:34:06Z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