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1"/>
        <w:gridCol w:w="6536"/>
        <w:gridCol w:w="3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CUSP-VAL003</w:t>
            </w:r>
          </w:p>
        </w:tc>
        <w:tc>
          <w:tcPr/>
          <w:p>
            <w:pPr>
              <w:pStyle w:val="Compact"/>
            </w:pPr>
            <w:r>
              <w:t xml:space="preserve">For the sake of data quality, new contracts added by SP and directly taking place after another contract cannot have the same end user.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CUSP-VAL004</w:t>
            </w:r>
          </w:p>
        </w:tc>
        <w:tc>
          <w:tcPr/>
          <w:p>
            <w:pPr>
              <w:pStyle w:val="Compact"/>
            </w:pPr>
            <w:r>
              <w:t xml:space="preserve">The end user of a new CUSP must match the end user owning the accounting point the CU is connected to.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controllable_unit_service_provider" TargetMode="External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2025-10-29T08:29:09Z</dcterms:created>
  <dcterms:modified xsi:type="dcterms:W3CDTF">2025-10-29T08:29:09Z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