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controllable-unit-service-provider"/>
    <w:p>
      <w:pPr>
        <w:pStyle w:val="Overskrift1"/>
      </w:pPr>
      <w:r>
        <w:t xml:space="preserve">Controllable Unit Service Provider</w:t>
      </w:r>
    </w:p>
    <w:p>
      <w:pPr>
        <w:pStyle w:val="FirstParagraph"/>
      </w:pPr>
      <w:r>
        <w:t xml:space="preserve">The relation that links a controllable unit to a service provider. It represents</w:t>
      </w:r>
      <w:r>
        <w:t xml:space="preserve"> </w:t>
      </w:r>
      <w:r>
        <w:t xml:space="preserve">a contract in the real world. A controllable unit shall be assigned to a maximum</w:t>
      </w:r>
      <w:r>
        <w:t xml:space="preserve"> </w:t>
      </w:r>
      <w:r>
        <w:t xml:space="preserve">of one service provider per activation period.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08"/>
        <w:gridCol w:w="2156"/>
        <w:gridCol w:w="3564"/>
        <w:gridCol w:w="7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  <w:r>
              <w:t xml:space="preserve">Technical ID of the end user behind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  <w:r>
              <w:t xml:space="preserve">The service providers internal reference to the contract with the end user. Typically an internal identifier to a stored document or consent record.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  <w:r>
              <w:t xml:space="preserve">The content of this field will not be checked by the system, but is intended to make sure that the service has a digitally stored proof of their contract with the end user on the controllable unit.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66"/>
        <w:gridCol w:w="6584"/>
        <w:gridCol w:w="36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CUSP-VAL001</w:t>
            </w:r>
          </w:p>
        </w:tc>
        <w:tc>
          <w:tcPr/>
          <w:p>
            <w:pPr>
              <w:pStyle w:val="Compact"/>
            </w:pPr>
            <w:r>
              <w:t xml:space="preserve">Valid time is frozen after 2 weeks for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CUSP-VAL002</w:t>
            </w:r>
          </w:p>
        </w:tc>
        <w:tc>
          <w:tcPr/>
          <w:p>
            <w:pPr>
              <w:pStyle w:val="Compact"/>
            </w:pPr>
            <w:r>
              <w:t xml:space="preserve">New contracts added by SP must be created 2-4 weeks ahead of their start unless the CU has no current contract.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CUSP-VAL003</w:t>
            </w:r>
          </w:p>
        </w:tc>
        <w:tc>
          <w:tcPr/>
          <w:p>
            <w:pPr>
              <w:pStyle w:val="Compact"/>
            </w:pPr>
            <w:r>
              <w:t xml:space="preserve">For the sake of data quality, new contracts added by SP and directly taking place after another contract cannot have the same end user.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66"/>
        <w:gridCol w:w="5079"/>
        <w:gridCol w:w="7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End user(s) in charge of the AP during the CU-SP contract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40"/>
        <w:gridCol w:w="6351"/>
        <w:gridCol w:w="62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CUSP-EU001</w:t>
            </w:r>
          </w:p>
        </w:tc>
        <w:tc>
          <w:tcPr/>
          <w:p>
            <w:pPr>
              <w:pStyle w:val="Compact"/>
            </w:pPr>
            <w:r>
              <w:t xml:space="preserve">Read CUSP that overlap with the period where they own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CUSP-EU002</w:t>
            </w:r>
          </w:p>
        </w:tc>
        <w:tc>
          <w:tcPr/>
          <w:p>
            <w:pPr>
              <w:pStyle w:val="Compact"/>
            </w:pPr>
            <w:r>
              <w:t xml:space="preserve">Read CUSP history records that overlap with the period where they owned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CUSP.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CUSP-SO001</w:t>
            </w:r>
          </w:p>
        </w:tc>
        <w:tc>
          <w:tcPr/>
          <w:p>
            <w:pPr>
              <w:pStyle w:val="Compact"/>
            </w:pPr>
            <w:r>
              <w:t xml:space="preserve">Read CUSP on CU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34"/>
        <w:gridCol w:w="5862"/>
        <w:gridCol w:w="82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CUSP where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5"/>
        <w:gridCol w:w="688"/>
        <w:gridCol w:w="573"/>
        <w:gridCol w:w="459"/>
        <w:gridCol w:w="459"/>
        <w:gridCol w:w="688"/>
        <w:gridCol w:w="459"/>
        <w:gridCol w:w="459"/>
        <w:gridCol w:w="573"/>
        <w:gridCol w:w="459"/>
        <w:gridCol w:w="57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2025-10-02T13:06:17Z</dcterms:created>
  <dcterms:modified xsi:type="dcterms:W3CDTF">2025-10-02T13:06:17Z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