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7"/>
        <w:gridCol w:w="6923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ENT-ORG002</w:t>
            </w:r>
          </w:p>
        </w:tc>
        <w:tc>
          <w:tcPr/>
          <w:p>
            <w:pPr>
              <w:pStyle w:val="Compact"/>
            </w:pPr>
            <w:r>
              <w:t xml:space="preserve">Read all entities with business id type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  <w:r>
              <w:t xml:space="preserve">. Temporary policy for test environments with email based entities for professional users.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2025-09-24T11:46:48Z</dcterms:created>
  <dcterms:modified xsi:type="dcterms:W3CDTF">2025-09-24T11:46:48Z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