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entity-client"/>
    <w:p>
      <w:pPr>
        <w:pStyle w:val="Overskrift1"/>
      </w:pPr>
      <w:r>
        <w:t xml:space="preserve">Entity Client</w:t>
      </w:r>
    </w:p>
    <w:p>
      <w:pPr>
        <w:pStyle w:val="FirstParagraph"/>
      </w:pPr>
      <w:r>
        <w:t xml:space="preserve">Client linked to an entity for client credentials and JWT grant authentication</w:t>
      </w:r>
      <w:r>
        <w:t xml:space="preserve"> </w:t>
      </w:r>
      <w:r>
        <w:t xml:space="preserve">methods. An entity can have several clients registered.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68"/>
        <w:gridCol w:w="4657"/>
        <w:gridCol w:w="1593"/>
        <w:gridCol w:w="5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this client is attached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client.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256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  <w:r>
              <w:t xml:space="preserve">The identifier of the entity. For use with client credentials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this client allows to assume. A null value means the client cannot assume any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user when it logs in as an entity or when it acts as the party. When assuming a party through party membership, the least privileged set of scopes will be kept.</w:t>
            </w:r>
            <w:r>
              <w:t xml:space="preserve">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  <w:r>
              <w:t xml:space="preserve">The secret of the entity. For use with client credentials authentication method. Input as plain text but stored encrypted.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Min length:</w:t>
            </w:r>
            <w:r>
              <w:t xml:space="preserve"> </w:t>
            </w:r>
            <w:r>
              <w:rPr>
                <w:rStyle w:val="VerbatimChar"/>
              </w:rPr>
              <w:t xml:space="preserve">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  <w:r>
              <w:t xml:space="preserve">The public key of the entity (X.509 SubjectPublicKeyInfo). For use with JWT grant authentication method.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^-----BEGIN PUBLIC KEY-----\nMIIB[-A-Za-z0-9+/\n]*={0,3}\n-----END PUBLIC KEY-----$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07"/>
        <w:gridCol w:w="5423"/>
        <w:gridCol w:w="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ECL-VAL001</w:t>
            </w:r>
          </w:p>
        </w:tc>
        <w:tc>
          <w:tcPr/>
          <w:p>
            <w:pPr>
              <w:pStyle w:val="Compact"/>
            </w:pPr>
            <w:r>
              <w:t xml:space="preserve">Entity clients can only target a party the entity can assume.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ECL-ENT001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their own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ECL-FISO001</w:t>
            </w:r>
          </w:p>
        </w:tc>
        <w:tc>
          <w:tcPr/>
          <w:p>
            <w:pPr>
              <w:pStyle w:val="Compact"/>
            </w:pPr>
            <w:r>
              <w:t xml:space="preserve">Read all clients.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4"/>
        <w:gridCol w:w="6662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ECL-ORG001</w:t>
            </w:r>
          </w:p>
        </w:tc>
        <w:tc>
          <w:tcPr/>
          <w:p>
            <w:pPr>
              <w:pStyle w:val="Compact"/>
            </w:pPr>
            <w:r>
              <w:t xml:space="preserve">Read clients on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ECL-ORG002</w:t>
            </w:r>
          </w:p>
        </w:tc>
        <w:tc>
          <w:tcPr/>
          <w:p>
            <w:pPr>
              <w:pStyle w:val="Compact"/>
            </w:pPr>
            <w:r>
              <w:t xml:space="preserve">Create, update and delete clients on the entity owning the organisation party, when the user is a human.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47"/>
        <w:gridCol w:w="779"/>
        <w:gridCol w:w="649"/>
        <w:gridCol w:w="519"/>
        <w:gridCol w:w="519"/>
        <w:gridCol w:w="779"/>
        <w:gridCol w:w="519"/>
        <w:gridCol w:w="519"/>
        <w:gridCol w:w="519"/>
        <w:gridCol w:w="519"/>
        <w:gridCol w:w="64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client_secret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public_key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entity_client" TargetMode="External" /><Relationship Type="http://schemas.openxmlformats.org/officeDocument/2006/relationships/hyperlink" Id="rId21" Target="../download/entity_clie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2025-10-15T11:18:21Z</dcterms:created>
  <dcterms:modified xsi:type="dcterms:W3CDTF">2025-10-15T11:18:21Z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