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entity-client"/>
    <w:p>
      <w:pPr>
        <w:pStyle w:val="Overskrift1"/>
      </w:pPr>
      <w:r>
        <w:t xml:space="preserve">Entity Client</w:t>
      </w:r>
    </w:p>
    <w:p>
      <w:pPr>
        <w:pStyle w:val="FirstParagraph"/>
      </w:pPr>
      <w:r>
        <w:t xml:space="preserve">Client linked to an entity for client credentials and JWT grant authentication</w:t>
      </w:r>
      <w:r>
        <w:t xml:space="preserve"> </w:t>
      </w:r>
      <w:r>
        <w:t xml:space="preserve">methods. An entity can have several clients registered.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68"/>
        <w:gridCol w:w="4657"/>
        <w:gridCol w:w="1593"/>
        <w:gridCol w:w="5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this client is attached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client.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256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client_id</w:t>
            </w:r>
          </w:p>
        </w:tc>
        <w:tc>
          <w:tcPr/>
          <w:p>
            <w:pPr>
              <w:pStyle w:val="Compact"/>
            </w:pPr>
            <w:r>
              <w:t xml:space="preserve">The identifier of the entity. For use with client credentials authentication method.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this client allows to assume. A null value means the client cannot assume any party.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  <w:r>
              <w:t xml:space="preserve">List of scopes granted to the user when it logs in as an entity or when it acts as the party. When assuming a party through party membership, the least privileged set of scopes will be kept.</w:t>
            </w:r>
            <w:r>
              <w:t xml:space="preserve">Scopes are inspired from OAuth 2.0 and allow refinement of access control and privilege delegation mechanisms.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client_secret</w:t>
            </w:r>
          </w:p>
        </w:tc>
        <w:tc>
          <w:tcPr/>
          <w:p>
            <w:pPr>
              <w:pStyle w:val="Compact"/>
            </w:pPr>
            <w:r>
              <w:t xml:space="preserve">The secret of the entity. For use with client credentials authentication method. Input as plain text but stored encrypted.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Min length:</w:t>
            </w:r>
            <w:r>
              <w:t xml:space="preserve"> </w:t>
            </w:r>
            <w:r>
              <w:rPr>
                <w:rStyle w:val="VerbatimChar"/>
              </w:rPr>
              <w:t xml:space="preserve">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public_key</w:t>
            </w:r>
          </w:p>
        </w:tc>
        <w:tc>
          <w:tcPr/>
          <w:p>
            <w:pPr>
              <w:pStyle w:val="Compact"/>
            </w:pPr>
            <w:r>
              <w:t xml:space="preserve">The public key of the entity (X.509 SubjectPublicKeyInfo). For use with JWT grant authentication method.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^-----BEGIN PUBLIC KEY-----\nMIIB[-A-Za-z0-9+/\n]*={0,3}\n-----END PUBLIC KEY-----$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07"/>
        <w:gridCol w:w="5423"/>
        <w:gridCol w:w="68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ECL-VAL001</w:t>
            </w:r>
          </w:p>
        </w:tc>
        <w:tc>
          <w:tcPr/>
          <w:p>
            <w:pPr>
              <w:pStyle w:val="Compact"/>
            </w:pPr>
            <w:r>
              <w:t xml:space="preserve">Entity clients can only target a party the entity can assume.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entity"/>
    <w:p>
      <w:pPr>
        <w:pStyle w:val="Overskrift4"/>
      </w:pPr>
      <w:r>
        <w:t xml:space="preserve">Entity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572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ECL-ENT001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their own clients.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ECL-FISO001</w:t>
            </w:r>
          </w:p>
        </w:tc>
        <w:tc>
          <w:tcPr/>
          <w:p>
            <w:pPr>
              <w:pStyle w:val="Compact"/>
            </w:pPr>
            <w:r>
              <w:t xml:space="preserve">Read all clients.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54"/>
        <w:gridCol w:w="6662"/>
        <w:gridCol w:w="50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ECL-ORG001</w:t>
            </w:r>
          </w:p>
        </w:tc>
        <w:tc>
          <w:tcPr/>
          <w:p>
            <w:pPr>
              <w:pStyle w:val="Compact"/>
            </w:pPr>
            <w:r>
              <w:t xml:space="preserve">Read clients on the entity owning the organisation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ECL-ORG002</w:t>
            </w:r>
          </w:p>
        </w:tc>
        <w:tc>
          <w:tcPr/>
          <w:p>
            <w:pPr>
              <w:pStyle w:val="Compact"/>
            </w:pPr>
            <w:r>
              <w:t xml:space="preserve">Create, update and delete clients on the entity owning the organisation party, when the user is a human.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47"/>
        <w:gridCol w:w="779"/>
        <w:gridCol w:w="649"/>
        <w:gridCol w:w="519"/>
        <w:gridCol w:w="519"/>
        <w:gridCol w:w="779"/>
        <w:gridCol w:w="519"/>
        <w:gridCol w:w="519"/>
        <w:gridCol w:w="519"/>
        <w:gridCol w:w="519"/>
        <w:gridCol w:w="64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client_secret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public_key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entity_client" TargetMode="External" /><Relationship Type="http://schemas.openxmlformats.org/officeDocument/2006/relationships/hyperlink" Id="rId21" Target="../download/entity_clie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entity_client" TargetMode="External" /><Relationship Type="http://schemas.openxmlformats.org/officeDocument/2006/relationships/hyperlink" Id="rId21" Target="../download/entity_clie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2025-10-07T12:16:58Z</dcterms:created>
  <dcterms:modified xsi:type="dcterms:W3CDTF">2025-10-07T12:16:58Z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