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party"/>
    <w:p>
      <w:pPr>
        <w:pStyle w:val="Overskrift1"/>
      </w:pPr>
      <w:r>
        <w:t xml:space="preserve">Party</w:t>
      </w:r>
    </w:p>
    <w:p>
      <w:pPr>
        <w:pStyle w:val="FirstParagraph"/>
      </w:pPr>
      <w:r>
        <w:t xml:space="preserve">The thing that interacts with and are authorized in the Flexibility</w:t>
      </w:r>
      <w:r>
        <w:t xml:space="preserve"> </w:t>
      </w:r>
      <w:r>
        <w:t xml:space="preserve">Information System.</w:t>
      </w:r>
    </w:p>
    <w:p>
      <w:pPr>
        <w:pStyle w:val="BodyText"/>
      </w:pPr>
      <w:r>
        <w:t xml:space="preserve">A party can have different types, e.g. system operator or end user.</w:t>
      </w:r>
    </w:p>
    <w:bookmarkStart w:id="20" w:name="business-identifiers"/>
    <w:p>
      <w:pPr>
        <w:pStyle w:val="Overskrift2"/>
      </w:pPr>
      <w:r>
        <w:t xml:space="preserve">Business Identifiers</w:t>
      </w:r>
    </w:p>
    <w:p>
      <w:pPr>
        <w:pStyle w:val="FirstParagraph"/>
      </w:pPr>
      <w:r>
        <w:t xml:space="preserve">Business identifiers for party originate outside of the system. The system</w:t>
      </w:r>
      <w:r>
        <w:t xml:space="preserve"> </w:t>
      </w:r>
      <w:r>
        <w:t xml:space="preserve">itself will not generate or administer these identifiers. As an example, a</w:t>
      </w:r>
      <w:r>
        <w:t xml:space="preserve"> </w:t>
      </w:r>
      <w:r>
        <w:t xml:space="preserve">service provider registration procedure will require the party to obtain a GLN</w:t>
      </w:r>
      <w:r>
        <w:t xml:space="preserve"> </w:t>
      </w:r>
      <w:r>
        <w:t xml:space="preserve">from GS1 or an EIC-X from ENTSO-E prior to registration (probably via the Ediel Register).</w:t>
      </w:r>
    </w:p>
    <w:p>
      <w:pPr>
        <w:pStyle w:val="BodyText"/>
      </w:pPr>
      <w:r>
        <w:t xml:space="preserve">We support both GLN and EIC-X as identifiers for parties, since they are both</w:t>
      </w:r>
      <w:r>
        <w:t xml:space="preserve"> </w:t>
      </w:r>
      <w:r>
        <w:t xml:space="preserve">used and globally unique.</w:t>
      </w:r>
    </w:p>
    <w:p>
      <w:pPr>
        <w:pStyle w:val="BodyText"/>
      </w:pPr>
      <w:r>
        <w:t xml:space="preserve">The exception to this rule is the End User party type, which is not required to</w:t>
      </w:r>
      <w:r>
        <w:t xml:space="preserve"> </w:t>
      </w:r>
      <w:r>
        <w:t xml:space="preserve">have an external business identifier. End Users are modelled as parties to</w:t>
      </w:r>
      <w:r>
        <w:t xml:space="preserve"> </w:t>
      </w:r>
      <w:r>
        <w:t xml:space="preserve">standardize/simplify the authorization logic. For those parties, the system will</w:t>
      </w:r>
      <w:r>
        <w:t xml:space="preserve"> </w:t>
      </w:r>
      <w:r>
        <w:t xml:space="preserve">generate a UUID as the business identifier.</w:t>
      </w:r>
    </w:p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11"/>
        <w:gridCol w:w="2494"/>
        <w:gridCol w:w="2365"/>
        <w:gridCol w:w="84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business identifier of the party. Format depends on</w:t>
            </w:r>
            <w:r>
              <w:t xml:space="preserve"> </w:t>
            </w:r>
            <w:r>
              <w:rPr>
                <w:rStyle w:val="VerbatimChar"/>
              </w:rPr>
              <w:t xml:space="preserve">business_id_type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  <w:r>
              <w:t xml:space="preserve">The type of the business identifier.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gln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uuid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eic_x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org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uuid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that is the parent of the party.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party. Maximum 128 characters.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role</w:t>
            </w:r>
          </w:p>
        </w:tc>
        <w:tc>
          <w:tcPr/>
          <w:p>
            <w:pPr>
              <w:pStyle w:val="Compact"/>
            </w:pPr>
            <w:r>
              <w:t xml:space="preserve">The role of the party. Currently maps to 1:1 to</w:t>
            </w:r>
            <w:r>
              <w:t xml:space="preserve"> </w:t>
            </w:r>
            <w:r>
              <w:rPr>
                <w:rStyle w:val="VerbatimChar"/>
              </w:rPr>
              <w:t xml:space="preserve">type</w:t>
            </w:r>
            <w:r>
              <w:t xml:space="preserve">. E.g. system_operator, service_provider.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party, e.g SystemOperator, ServiceProvider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party.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suspended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05"/>
        <w:gridCol w:w="6411"/>
        <w:gridCol w:w="60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PTY-VAL001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business_id_type</w:t>
            </w:r>
            <w:r>
              <w:t xml:space="preserve"> </w:t>
            </w:r>
            <w:r>
              <w:t xml:space="preserve">is UUID if and only if the party is an</w:t>
            </w:r>
            <w:r>
              <w:t xml:space="preserve"> </w:t>
            </w:r>
            <w:r>
              <w:rPr>
                <w:rStyle w:val="VerbatimChar"/>
              </w:rPr>
              <w:t xml:space="preserve">end_user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PTY-VAL002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business_id</w:t>
            </w:r>
            <w:r>
              <w:t xml:space="preserve"> </w:t>
            </w:r>
            <w:r>
              <w:t xml:space="preserve">is not required if</w:t>
            </w:r>
            <w:r>
              <w:t xml:space="preserve"> </w:t>
            </w:r>
            <w:r>
              <w:rPr>
                <w:rStyle w:val="VerbatimChar"/>
              </w:rPr>
              <w:t xml:space="preserve">business_id_type</w:t>
            </w:r>
            <w:r>
              <w:t xml:space="preserve"> </w:t>
            </w:r>
            <w:r>
              <w:t xml:space="preserve">is UUID (it will be generated).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PTY-VAL003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business_id_type</w:t>
            </w:r>
            <w:r>
              <w:t xml:space="preserve"> </w:t>
            </w:r>
            <w:r>
              <w:t xml:space="preserve">is ORG if and only if the party is an</w:t>
            </w:r>
            <w:r>
              <w:t xml:space="preserve"> </w:t>
            </w:r>
            <w:r>
              <w:rPr>
                <w:rStyle w:val="VerbatimChar"/>
              </w:rPr>
              <w:t xml:space="preserve">organisation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PTY-ENT001</w:t>
            </w:r>
          </w:p>
        </w:tc>
        <w:tc>
          <w:tcPr/>
          <w:p>
            <w:pPr>
              <w:pStyle w:val="Compact"/>
            </w:pPr>
            <w:r>
              <w:t xml:space="preserve">Read all PTY whose memberships they can read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PTY-ENT002</w:t>
            </w:r>
          </w:p>
        </w:tc>
        <w:tc>
          <w:tcPr/>
          <w:p>
            <w:pPr>
              <w:pStyle w:val="Compact"/>
            </w:pPr>
            <w:r>
              <w:t xml:space="preserve">Read all PTY that they own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PTY-COM001</w:t>
            </w:r>
          </w:p>
        </w:tc>
        <w:tc>
          <w:tcPr/>
          <w:p>
            <w:pPr>
              <w:pStyle w:val="Compact"/>
            </w:pPr>
            <w:r>
              <w:t xml:space="preserve">Read history on PTY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PTY-COM002</w:t>
            </w:r>
          </w:p>
        </w:tc>
        <w:tc>
          <w:tcPr/>
          <w:p>
            <w:pPr>
              <w:pStyle w:val="Compact"/>
            </w:pPr>
            <w:r>
              <w:t xml:space="preserve">Read all PTY that are not</w:t>
            </w:r>
            <w:r>
              <w:t xml:space="preserve"> </w:t>
            </w:r>
            <w:r>
              <w:rPr>
                <w:rStyle w:val="VerbatimChar"/>
              </w:rPr>
              <w:t xml:space="preserve">end_user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PTY-COM003</w:t>
            </w:r>
          </w:p>
        </w:tc>
        <w:tc>
          <w:tcPr/>
          <w:p>
            <w:pPr>
              <w:pStyle w:val="Compact"/>
            </w:pPr>
            <w:r>
              <w:t xml:space="preserve">Read all PTY whose memberships they can read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PTY-FISO001</w:t>
            </w:r>
          </w:p>
        </w:tc>
        <w:tc>
          <w:tcPr/>
          <w:p>
            <w:pPr>
              <w:pStyle w:val="Compact"/>
            </w:pPr>
            <w:r>
              <w:t xml:space="preserve">Create, read and update all PTY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27"/>
        <w:gridCol w:w="742"/>
        <w:gridCol w:w="618"/>
        <w:gridCol w:w="495"/>
        <w:gridCol w:w="495"/>
        <w:gridCol w:w="742"/>
        <w:gridCol w:w="495"/>
        <w:gridCol w:w="495"/>
        <w:gridCol w:w="495"/>
        <w:gridCol w:w="495"/>
        <w:gridCol w:w="61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party" TargetMode="External" /><Relationship Type="http://schemas.openxmlformats.org/officeDocument/2006/relationships/hyperlink" Id="rId22" Target="../download/party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enti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party" TargetMode="External" /><Relationship Type="http://schemas.openxmlformats.org/officeDocument/2006/relationships/hyperlink" Id="rId22" Target="../download/party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enti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2025-08-20T12:12:00Z</dcterms:created>
  <dcterms:modified xsi:type="dcterms:W3CDTF">2025-08-20T12:12:00Z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