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roduct-type"/>
    <w:p>
      <w:pPr>
        <w:pStyle w:val="Overskrift1"/>
      </w:pPr>
      <w:r>
        <w:t xml:space="preserve">Product Type</w:t>
      </w:r>
    </w:p>
    <w:p>
      <w:pPr>
        <w:pStyle w:val="FirstParagraph"/>
      </w:pPr>
      <w:r>
        <w:t xml:space="preserve">A type of product to be bought by system operators on a flexibility market.</w:t>
      </w:r>
      <w:r>
        <w:t xml:space="preserve"> </w:t>
      </w:r>
      <w:r>
        <w:t xml:space="preserve">This resource is a read-only enumeration.</w:t>
      </w:r>
    </w:p>
    <w:bookmarkStart w:id="22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list of product types is defined by national terms and conditions with</w:t>
      </w:r>
      <w:r>
        <w:t xml:space="preserve"> </w:t>
      </w:r>
      <w:r>
        <w:t xml:space="preserve">reference to table of equivalences.</w:t>
      </w:r>
    </w:p>
    <w:p>
      <w:pPr>
        <w:pStyle w:val="BodyText"/>
      </w:pPr>
      <w:r>
        <w:t xml:space="preserve">The following is a list of product types, with their corresponding product</w:t>
      </w:r>
      <w:r>
        <w:t xml:space="preserve"> </w:t>
      </w:r>
      <w:r>
        <w:t xml:space="preserve">categories and example/specific products. NODES/EuroFlex currently has three</w:t>
      </w:r>
      <w:r>
        <w:t xml:space="preserve"> </w:t>
      </w:r>
      <w:r>
        <w:t xml:space="preserve">congestion products: LongFlex, ShortFlex and MaxUsage.</w:t>
      </w:r>
      <w:r>
        <w:t xml:space="preserve"> </w:t>
      </w:r>
      <w:hyperlink r:id="rId20">
        <w:r>
          <w:rPr>
            <w:rStyle w:val="Hyperkobling"/>
          </w:rPr>
          <w:t xml:space="preserve">Statnett has a set of products</w:t>
        </w:r>
      </w:hyperlink>
      <w:r>
        <w:t xml:space="preserve">,</w:t>
      </w:r>
      <w:r>
        <w:t xml:space="preserve"> </w:t>
      </w:r>
      <w:r>
        <w:t xml:space="preserve">and we also used a nice overview from</w:t>
      </w:r>
      <w:r>
        <w:t xml:space="preserve"> </w:t>
      </w:r>
      <w:hyperlink r:id="rId21">
        <w:r>
          <w:rPr>
            <w:rStyle w:val="Hyperkobling"/>
          </w:rPr>
          <w:t xml:space="preserve">Energinet</w:t>
        </w:r>
      </w:hyperlink>
      <w:r>
        <w:t xml:space="preserve"> </w:t>
      </w:r>
      <w:r>
        <w:t xml:space="preserve">as input.</w:t>
      </w:r>
    </w:p>
    <w:p>
      <w:pPr>
        <w:pStyle w:val="BodyText"/>
      </w:pPr>
      <w:r>
        <w:t xml:space="preserve">!!! note</w:t>
      </w:r>
      <w:r>
        <w:t xml:space="preserve"> </w:t>
      </w:r>
      <w:r>
        <w:t xml:space="preserve">“The is list is not final nor exhaustive”</w:t>
      </w:r>
    </w:p>
    <w:p>
      <w:pPr>
        <w:pStyle w:val="SourceCode"/>
      </w:pPr>
      <w:r>
        <w:rPr>
          <w:rStyle w:val="VerbatimChar"/>
        </w:rPr>
        <w:t xml:space="preserve">The list of product types is defined for discussion and will probably be</w:t>
      </w:r>
      <w:r>
        <w:br/>
      </w:r>
      <w:r>
        <w:rPr>
          <w:rStyle w:val="VerbatimChar"/>
        </w:rPr>
        <w:t xml:space="preserve">adjusted/extended.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14"/>
        <w:gridCol w:w="2160"/>
        <w:gridCol w:w="1505"/>
        <w:gridCol w:w="1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Business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Products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manual_congestion</w:t>
            </w:r>
          </w:p>
        </w:tc>
        <w:tc>
          <w:tcPr/>
          <w:p>
            <w:pPr>
              <w:pStyle w:val="Compact"/>
            </w:pPr>
            <w:r>
              <w:t xml:space="preserve">Manual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LongFlex, ShortFlex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automatic_congestion</w:t>
            </w:r>
          </w:p>
        </w:tc>
        <w:tc>
          <w:tcPr/>
          <w:p>
            <w:pPr>
              <w:pStyle w:val="Compact"/>
            </w:pPr>
            <w:r>
              <w:t xml:space="preserve">Automatic Congestion</w:t>
            </w:r>
          </w:p>
        </w:tc>
        <w:tc>
          <w:tcPr/>
          <w:p>
            <w:pPr>
              <w:pStyle w:val="Compact"/>
            </w:pPr>
            <w:r>
              <w:t xml:space="preserve">congestion management</w:t>
            </w:r>
          </w:p>
        </w:tc>
        <w:tc>
          <w:tcPr/>
          <w:p>
            <w:pPr>
              <w:pStyle w:val="Compact"/>
            </w:pPr>
            <w:r>
              <w:t xml:space="preserve">MaxUsage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automatic_voltage</w:t>
            </w:r>
          </w:p>
        </w:tc>
        <w:tc>
          <w:tcPr/>
          <w:p>
            <w:pPr>
              <w:pStyle w:val="Compact"/>
            </w:pPr>
            <w:r>
              <w:t xml:space="preserve">Automatic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manual_voltage</w:t>
            </w:r>
          </w:p>
        </w:tc>
        <w:tc>
          <w:tcPr/>
          <w:p>
            <w:pPr>
              <w:pStyle w:val="Compact"/>
            </w:pPr>
            <w:r>
              <w:t xml:space="preserve">Manual Voltage</w:t>
            </w:r>
          </w:p>
        </w:tc>
        <w:tc>
          <w:tcPr/>
          <w:p>
            <w:pPr>
              <w:pStyle w:val="Compact"/>
            </w:pPr>
            <w:r>
              <w:t xml:space="preserve">voltage control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automatic_fast_frequency</w:t>
            </w:r>
          </w:p>
        </w:tc>
        <w:tc>
          <w:tcPr/>
          <w:p>
            <w:pPr>
              <w:pStyle w:val="Compact"/>
            </w:pPr>
            <w:r>
              <w:t xml:space="preserve">Fast Frequency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FFR Profil, FFR Flex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automatic_frequency_containment</w:t>
            </w:r>
          </w:p>
        </w:tc>
        <w:tc>
          <w:tcPr/>
          <w:p>
            <w:pPr>
              <w:pStyle w:val="Compact"/>
            </w:pPr>
            <w:r>
              <w:t xml:space="preserve">Frequency Containment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FCR-N, FCR-D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automatic_frequency_restoration</w:t>
            </w:r>
          </w:p>
        </w:tc>
        <w:tc>
          <w:tcPr/>
          <w:p>
            <w:pPr>
              <w:pStyle w:val="Compact"/>
            </w:pPr>
            <w:r>
              <w:t xml:space="preserve">Automatic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aFRR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</w:t>
            </w:r>
          </w:p>
        </w:tc>
        <w:tc>
          <w:tcPr/>
          <w:p>
            <w:pPr>
              <w:pStyle w:val="Compact"/>
            </w:pPr>
            <w:r>
              <w:t xml:space="preserve">Manual Frequency Restoration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 EAM, mFRR CM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manual_frequency_restoration_disruption</w:t>
            </w:r>
          </w:p>
        </w:tc>
        <w:tc>
          <w:tcPr/>
          <w:p>
            <w:pPr>
              <w:pStyle w:val="Compact"/>
            </w:pPr>
            <w:r>
              <w:t xml:space="preserve">Frequency Disruption</w:t>
            </w:r>
          </w:p>
        </w:tc>
        <w:tc>
          <w:tcPr/>
          <w:p>
            <w:pPr>
              <w:pStyle w:val="Compact"/>
            </w:pPr>
            <w:r>
              <w:t xml:space="preserve">balancing</w:t>
            </w:r>
          </w:p>
        </w:tc>
        <w:tc>
          <w:tcPr/>
          <w:p>
            <w:pPr>
              <w:pStyle w:val="Compact"/>
            </w:pPr>
            <w:r>
              <w:t xml:space="preserve">mFRR-D</w:t>
            </w:r>
          </w:p>
        </w:tc>
      </w:tr>
    </w:tbl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416"/>
        <w:gridCol w:w="1834"/>
        <w:gridCol w:w="4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code for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The name of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64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  <w:r>
              <w:t xml:space="preserve">The service offered by the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  <w:r>
              <w:t xml:space="preserve">Examples of products belonging to this product type.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PT-COM001</w:t>
            </w:r>
          </w:p>
        </w:tc>
        <w:tc>
          <w:tcPr/>
          <w:p>
            <w:pPr>
              <w:pStyle w:val="Compact"/>
            </w:pPr>
            <w:r>
              <w:t xml:space="preserve">Read all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i/v0/index.html#/operations/list_product_type" TargetMode="External" /><Relationship Type="http://schemas.openxmlformats.org/officeDocument/2006/relationships/hyperlink" Id="rId24" Target="../download/product_type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1" Target="https://energinet.dk/el/systemydelser/introduktion-til-systemydelser/oversigt-over-systemydelser/" TargetMode="External" /><Relationship Type="http://schemas.openxmlformats.org/officeDocument/2006/relationships/hyperlink" Id="rId20" Target="https://www.statnett.no/for-aktorer-i-kraftbransjen/systemansvaret/kraftmarkedet/reservemarkeder/kort-om-de-ulike-reservene/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2025-08-29T06:07:56Z</dcterms:created>
  <dcterms:modified xsi:type="dcterms:W3CDTF">2025-08-29T06:07:56Z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