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CUS-BRP001</w:t>
            </w:r>
          </w:p>
        </w:tc>
        <w:tc>
          <w:tcPr/>
          <w:p>
            <w:pPr>
              <w:pStyle w:val="Compact"/>
            </w:pPr>
            <w:r>
              <w:t xml:space="preserve">Read CU suspensions on CU where they are currently BRP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CUS-BRP002</w:t>
            </w:r>
          </w:p>
        </w:tc>
        <w:tc>
          <w:tcPr/>
          <w:p>
            <w:pPr>
              <w:pStyle w:val="Compact"/>
            </w:pPr>
            <w:r>
              <w:t xml:space="preserve">Read CU suspension history on CU where they were BRP on the AP during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2026-09-17T10:40:06Z</dcterms:created>
  <dcterms:modified xsi:type="dcterms:W3CDTF">2026-09-17T10:40:06Z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