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must</w:t>
      </w:r>
      <w:r>
        <w:t xml:space="preserve"> </w:t>
      </w:r>
      <w:r>
        <w:t xml:space="preserve">quickly take over and choose whether the group needs a full prequalification or</w:t>
      </w:r>
      <w:r>
        <w:t xml:space="preserve"> </w:t>
      </w:r>
      <w:r>
        <w:t xml:space="preserve">only verification, by setting the status to either</w:t>
      </w:r>
      <w:r>
        <w:t xml:space="preserve"> </w:t>
      </w:r>
      <w:r>
        <w:rPr>
          <w:rStyle w:val="VerbatimChar"/>
        </w:rPr>
        <w:t xml:space="preserve">prequalification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temporary_qualified</w:t>
      </w:r>
      <w:r>
        <w:t xml:space="preserve">. They are responsible for taking to application to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 is rejected, the service</w:t>
      </w:r>
      <w:r>
        <w:t xml:space="preserve"> </w:t>
      </w:r>
      <w:r>
        <w:t xml:space="preserve">provider can then make updates and propose the application again.</w:t>
      </w:r>
    </w:p>
    <w:p>
      <w:pPr>
        <w:pStyle w:val="BodyText"/>
      </w:pPr>
      <w:r>
        <w:t xml:space="preserve">The system will regularly check automatically whether SPG grid prequalification</w:t>
      </w:r>
      <w:r>
        <w:t xml:space="preserve"> </w:t>
      </w:r>
      <w:r>
        <w:t xml:space="preserve">resources need to be created for each impacted system operator, and any status</w:t>
      </w:r>
      <w:r>
        <w:t xml:space="preserve"> </w:t>
      </w:r>
      <w:r>
        <w:t xml:space="preserve">change from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 </w:t>
      </w:r>
      <w:r>
        <w:t xml:space="preserve">will trigger this check as well.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2265"/>
        <w:gridCol w:w="2386"/>
        <w:gridCol w:w="1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up.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  <w:r>
              <w:t xml:space="preserve">The maximum active power applied for in regulation direction down. Stored in kilowatts.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  <w:r>
              <w:t xml:space="preserve">Required</w:t>
            </w:r>
            <w:r>
              <w:t xml:space="preserve">Min: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Max:</w:t>
            </w:r>
            <w:r>
              <w:t xml:space="preserve"> </w:t>
            </w:r>
            <w:r>
              <w:rPr>
                <w:rStyle w:val="VerbatimChar"/>
              </w:rPr>
              <w:t xml:space="preserve">999999.999</w:t>
            </w:r>
            <w:r>
              <w:t xml:space="preserve">Multiple of:</w:t>
            </w:r>
            <w:r>
              <w:t xml:space="preserve"> </w:t>
            </w:r>
            <w:r>
              <w:rPr>
                <w:rStyle w:val="VerbatimChar"/>
              </w:rPr>
              <w:t xml:space="preserve">0.001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application if needed (bidding periods, unavailabilities, etc).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  <w:r>
              <w:t xml:space="preserve">Whether the service providing group can ramp in accordance with the product requirements during both activation and deactivation.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always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  <w:r>
              <w:t xml:space="preserve">Free text description of ramping details. Only required for product Manual Frequency Restoration (mFRR).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t xml:space="preserve">When the application was first created.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  <w:r>
              <w:t xml:space="preserve">When the application was last marked complete by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by the SO or have an ongoing qualification for all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SPGPA-VAL007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ramping_capability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SPGPA-VAL008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contains Manual Frequency Restoration, then</w:t>
            </w:r>
            <w:r>
              <w:t xml:space="preserve"> </w:t>
            </w:r>
            <w:r>
              <w:rPr>
                <w:rStyle w:val="VerbatimChar"/>
              </w:rPr>
              <w:t xml:space="preserve">ramping_description</w:t>
            </w:r>
            <w:r>
              <w:t xml:space="preserve"> </w:t>
            </w:r>
            <w:r>
              <w:t xml:space="preserve">must be set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not be empty.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SPGPA-VAL010</w:t>
            </w:r>
          </w:p>
        </w:tc>
        <w:tc>
          <w:tcPr/>
          <w:p>
            <w:pPr>
              <w:pStyle w:val="Compact"/>
            </w:pPr>
            <w:r>
              <w:t xml:space="preserve">Product types can be applied for only once per SPG and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SPGPA-VAL011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different from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complete_at</w:t>
            </w:r>
            <w:r>
              <w:t xml:space="preserve"> </w:t>
            </w:r>
            <w:r>
              <w:t xml:space="preserve">must be 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SPGPA-SO003</w:t>
            </w:r>
          </w:p>
        </w:tc>
        <w:tc>
          <w:tcPr/>
          <w:p>
            <w:pPr>
              <w:pStyle w:val="Compact"/>
            </w:pPr>
            <w:r>
              <w:t xml:space="preserve">Read SPGPA for SPGs on which they have a grid prequalification.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1"/>
        <w:gridCol w:w="6705"/>
        <w:gridCol w:w="4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or set from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maximum_active_power_down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ramping_capability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ramping_description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complete_at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product_application" TargetMode="External" /><Relationship Type="http://schemas.openxmlformats.org/officeDocument/2006/relationships/hyperlink" Id="rId45" Target="../auth/authn-model.md#party-market-actors" TargetMode="External" /><Relationship Type="http://schemas.openxmlformats.org/officeDocument/2006/relationships/hyperlink" Id="rId33" Target="../auth/authz-model.md#resource-level-authorization-rla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2026-09-17T10:40:05Z</dcterms:created>
  <dcterms:modified xsi:type="dcterms:W3CDTF">2026-09-17T10:40:05Z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