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56c8f55df9764c226069fff150f6b73368ef04b"/>
    <w:p>
      <w:pPr>
        <w:pStyle w:val="Overskrift1"/>
      </w:pPr>
      <w:r>
        <w:t xml:space="preserve">Accounting Point</w:t>
      </w:r>
    </w:p>
    <w:p>
      <w:pPr>
        <w:pStyle w:val="FirstParagraph"/>
      </w:pPr>
      <w:r>
        <w:t xml:space="preserve">A metering point where the consumption or production of electricity is measured</w:t>
      </w:r>
      <w:r>
        <w:t xml:space="preserve"> </w:t>
      </w:r>
      <w:r>
        <w:t xml:space="preserve">and settled.</w:t>
      </w:r>
    </w:p>
    <w:p>
      <w:pPr>
        <w:pStyle w:val="BodyText"/>
      </w:pPr>
      <w:r>
        <w:t xml:space="preserve">Provides a way for parties to identify the system operator of the accounting point.</w:t>
      </w:r>
    </w:p>
    <w:p>
      <w:pPr>
        <w:pStyle w:val="BodyText"/>
      </w:pPr>
      <w:r>
        <w:t xml:space="preserve">Data from Elhub.</w:t>
      </w:r>
    </w:p>
    <w:bookmarkStart w:id="20" w:name="_3787186b6921922c4a89c96a165f1a4accc6b38"/>
    <w:p>
      <w:pPr>
        <w:pStyle w:val="Overskrift2"/>
      </w:pPr>
      <w:r>
        <w:t xml:space="preserve">Business Identifiers</w:t>
      </w:r>
    </w:p>
    <w:p>
      <w:pPr>
        <w:pStyle w:val="FirstParagraph"/>
      </w:pPr>
      <w:r>
        <w:t xml:space="preserve">The business identifier is the GSRN metering point id.</w:t>
      </w:r>
    </w:p>
    <w:bookmarkEnd w:id="20"/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6"/>
        <w:gridCol w:w="2505"/>
        <w:gridCol w:w="1608"/>
        <w:gridCol w:w="9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The GSRN metering point id of the accounting point.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^[1-9][0-9]{17}$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  <w:r>
              <w:t xml:space="preserve">The system operator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Geographic location of the accounting point (WGS84), as a GeoJSON point object.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5862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AP-BRP001</w:t>
            </w:r>
          </w:p>
        </w:tc>
        <w:tc>
          <w:tcPr/>
          <w:p>
            <w:pPr>
              <w:pStyle w:val="Compact"/>
            </w:pPr>
            <w:r>
              <w:t xml:space="preserve">Read accounting points where they are currently BRP.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AP-FISO001</w:t>
            </w:r>
          </w:p>
        </w:tc>
        <w:tc>
          <w:tcPr/>
          <w:p>
            <w:pPr>
              <w:pStyle w:val="Compact"/>
            </w:pPr>
            <w:r>
              <w:t xml:space="preserve">Read all accounting points.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AP-SO001</w:t>
            </w:r>
          </w:p>
        </w:tc>
        <w:tc>
          <w:tcPr/>
          <w:p>
            <w:pPr>
              <w:pStyle w:val="Compact"/>
            </w:pPr>
            <w:r>
              <w:t xml:space="preserve">Read accounting points where they are CSO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AP-SO002</w:t>
            </w:r>
          </w:p>
        </w:tc>
        <w:tc>
          <w:tcPr/>
          <w:p>
            <w:pPr>
              <w:pStyle w:val="Compact"/>
            </w:pPr>
            <w:r>
              <w:t xml:space="preserve">Read accounting points where they are ISO.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AP-SO003</w:t>
            </w:r>
          </w:p>
        </w:tc>
        <w:tc>
          <w:tcPr/>
          <w:p>
            <w:pPr>
              <w:pStyle w:val="Compact"/>
            </w:pPr>
            <w:r>
              <w:t xml:space="preserve">Read accounting points where they are PSO.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034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AP-SP001</w:t>
            </w:r>
          </w:p>
        </w:tc>
        <w:tc>
          <w:tcPr/>
          <w:p>
            <w:pPr>
              <w:pStyle w:val="Compact"/>
            </w:pPr>
            <w:r>
              <w:t xml:space="preserve">Read accounting points where they are or have been SP on a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766"/>
        <w:gridCol w:w="638"/>
        <w:gridCol w:w="510"/>
        <w:gridCol w:w="510"/>
        <w:gridCol w:w="766"/>
        <w:gridCol w:w="510"/>
        <w:gridCol w:w="510"/>
        <w:gridCol w:w="510"/>
        <w:gridCol w:w="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accounting_point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2" Target="../download/accounting_point.docx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accounting_point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2" Target="../download/accounting_point.docx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