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_85b1452d082e4f953a8af2d7dc788b493d566fc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This resource represents a client linked to an entity, to be used in the JWT Bearer</w:t>
      </w:r>
      <w:r>
        <w:t xml:space="preserve"> </w:t>
      </w:r>
      <w:r>
        <w:t xml:space="preserve">authentication method.</w:t>
      </w:r>
    </w:p>
    <w:p>
      <w:pPr>
        <w:pStyle w:val="BodyText"/>
      </w:pPr>
      <w:r>
        <w:t xml:space="preserve">The main purpose of this resource is to enable machine access to the API.</w:t>
      </w:r>
      <w:r>
        <w:t xml:space="preserve"> </w:t>
      </w:r>
      <w:r>
        <w:t xml:space="preserve">A program connecting to the API will use one of the clients present on the</w:t>
      </w:r>
      <w:r>
        <w:t xml:space="preserve"> </w:t>
      </w:r>
      <w:r>
        <w:t xml:space="preserve">entity.</w:t>
      </w:r>
      <w:r>
        <w:t xml:space="preserve"> </w:t>
      </w:r>
      <w:r>
        <w:t xml:space="preserve">It will thereby get the possibility to act as the party referenced in the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field, with the authorisations listed in the client’s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.</w:t>
      </w:r>
    </w:p>
    <w:p>
      <w:pPr>
        <w:pStyle w:val="BodyText"/>
      </w:pPr>
      <w:r>
        <w:t xml:space="preserve">Entity clients are secured by a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associated to the private key</w:t>
      </w:r>
      <w:r>
        <w:t xml:space="preserve"> </w:t>
      </w:r>
      <w:r>
        <w:t xml:space="preserve">that JWTs sent to the JWT Bearer authentication will be signed with.</w:t>
      </w:r>
    </w:p>
    <w:p>
      <w:pPr>
        <w:pStyle w:val="BodyText"/>
      </w:pPr>
      <w:r>
        <w:t xml:space="preserve">!!! warning</w:t>
      </w:r>
      <w:r>
        <w:t xml:space="preserve"> </w:t>
      </w:r>
      <w:r>
        <w:t xml:space="preserve">“Client credentials removed”</w:t>
      </w:r>
    </w:p>
    <w:p>
      <w:pPr>
        <w:pStyle w:val="SourceCode"/>
      </w:pPr>
      <w:r>
        <w:rPr>
          <w:rStyle w:val="VerbatimChar"/>
        </w:rPr>
        <w:t xml:space="preserve">Entity clients could previously also be secured by a `client_secret` and</w:t>
      </w:r>
      <w:r>
        <w:br/>
      </w:r>
      <w:r>
        <w:rPr>
          <w:rStyle w:val="VerbatimChar"/>
        </w:rPr>
        <w:t xml:space="preserve">used with the `client_credentials` grant. This grant type has been removed.</w:t>
      </w:r>
      <w:r>
        <w:br/>
      </w:r>
      <w:r>
        <w:rPr>
          <w:rStyle w:val="VerbatimChar"/>
        </w:rPr>
        <w:t xml:space="preserve">The `client_secret` field is no longer part of the API, and existing clients</w:t>
      </w:r>
      <w:r>
        <w:br/>
      </w:r>
      <w:r>
        <w:rPr>
          <w:rStyle w:val="VerbatimChar"/>
        </w:rPr>
        <w:t xml:space="preserve">must authenticate with the JWT Bearer method using a `public_key`.</w:t>
      </w:r>
      <w:r>
        <w:br/>
      </w:r>
      <w:r>
        <w:rPr>
          <w:rStyle w:val="VerbatimChar"/>
        </w:rPr>
        <w:t xml:space="preserve">See the [changelog](../changelog.md).</w:t>
      </w:r>
    </w:p>
    <w:p>
      <w:pPr>
        <w:pStyle w:val="FirstParagraph"/>
      </w:pPr>
      <w:r>
        <w:t xml:space="preserve">An entity can have several clients registered, typically an organisation entity</w:t>
      </w:r>
      <w:r>
        <w:t xml:space="preserve"> </w:t>
      </w:r>
      <w:r>
        <w:t xml:space="preserve">with one client per enterprise machine expected to use the API in an automated</w:t>
      </w:r>
      <w:r>
        <w:t xml:space="preserve"> </w:t>
      </w:r>
      <w:r>
        <w:t xml:space="preserve">way.</w:t>
      </w:r>
    </w:p>
    <w:bookmarkStart w:id="20" w:name="_example"/>
    <w:p>
      <w:pPr>
        <w:pStyle w:val="Overskrift2"/>
      </w:pPr>
      <w:r>
        <w:t xml:space="preserve">Example</w:t>
      </w:r>
    </w:p>
    <w:p>
      <w:pPr>
        <w:pStyle w:val="FirstParagraph"/>
      </w:pPr>
      <w:r>
        <w:t xml:space="preserve">Let us take the case of a system operator organisation called</w:t>
      </w:r>
      <w:r>
        <w:t xml:space="preserve"> </w:t>
      </w:r>
      <w:r>
        <w:t xml:space="preserve">“Testnett AS”</w:t>
      </w:r>
      <w:r>
        <w:t xml:space="preserve">.</w:t>
      </w:r>
      <w:r>
        <w:t xml:space="preserve"> </w:t>
      </w:r>
      <w:r>
        <w:t xml:space="preserve">They have an organisation entity registered in the FIS and a party of type</w:t>
      </w:r>
      <w:r>
        <w:t xml:space="preserve"> </w:t>
      </w:r>
      <w:r>
        <w:rPr>
          <w:rStyle w:val="VerbatimChar"/>
        </w:rPr>
        <w:t xml:space="preserve">system_operator</w:t>
      </w:r>
      <w:r>
        <w:t xml:space="preserve"> </w:t>
      </w:r>
      <w:r>
        <w:t xml:space="preserve">to be able to act in the system accordingly.</w:t>
      </w:r>
    </w:p>
    <w:p>
      <w:pPr>
        <w:pStyle w:val="BodyText"/>
      </w:pPr>
      <w:r>
        <w:t xml:space="preserve">Imagine they want to allow API access to one of their data engineers, not to</w:t>
      </w:r>
      <w:r>
        <w:t xml:space="preserve"> </w:t>
      </w:r>
      <w:r>
        <w:t xml:space="preserve">interact with the system, but just to perform some data analytics.</w:t>
      </w:r>
      <w:r>
        <w:t xml:space="preserve"> </w:t>
      </w:r>
      <w:r>
        <w:t xml:space="preserve">This is possible by creating an entity client:</w:t>
      </w:r>
    </w:p>
    <w:p>
      <w:pPr>
        <w:pStyle w:val="Compact"/>
        <w:numPr>
          <w:ilvl w:val="0"/>
          <w:numId w:val="1001"/>
        </w:numPr>
      </w:pPr>
      <w:r>
        <w:t xml:space="preserve">tied to the organisation entity (</w:t>
      </w:r>
      <w:r>
        <w:rPr>
          <w:rStyle w:val="VerbatimChar"/>
        </w:rPr>
        <w:t xml:space="preserve">entity_id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allowing access to the SO party (</w:t>
      </w:r>
      <w:r>
        <w:rPr>
          <w:rStyle w:val="VerbatimChar"/>
        </w:rPr>
        <w:t xml:space="preserve">party_id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read-only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 </w:t>
      </w:r>
      <w:r>
        <w:t xml:space="preserve">to make sure the data engineer does not edit any</w:t>
      </w:r>
      <w:r>
        <w:t xml:space="preserve"> </w:t>
      </w:r>
      <w:r>
        <w:t xml:space="preserve">data currently in use (for instance</w:t>
      </w:r>
      <w:r>
        <w:t xml:space="preserve"> </w:t>
      </w:r>
      <w:r>
        <w:rPr>
          <w:rStyle w:val="VerbatimChar"/>
        </w:rPr>
        <w:t xml:space="preserve">read:data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a public key freshly generated in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(the private key will be</w:t>
      </w:r>
      <w:r>
        <w:t xml:space="preserve"> </w:t>
      </w:r>
      <w:r>
        <w:t xml:space="preserve">given to the data engineer).</w:t>
      </w:r>
    </w:p>
    <w:p>
      <w:pPr>
        <w:pStyle w:val="FirstParagraph"/>
      </w:pPr>
      <w:r>
        <w:t xml:space="preserve">Then, the target person will just have to use the JWT grant authentication</w:t>
      </w:r>
      <w:r>
        <w:t xml:space="preserve"> </w:t>
      </w:r>
      <w:r>
        <w:t xml:space="preserve">method with a JWT asking for access to the SO party through the entity client</w:t>
      </w:r>
      <w:r>
        <w:t xml:space="preserve"> </w:t>
      </w:r>
      <w:r>
        <w:t xml:space="preserve">they received (identified by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in the JWT claims).</w:t>
      </w:r>
      <w:r>
        <w:t xml:space="preserve"> </w:t>
      </w:r>
      <w:r>
        <w:t xml:space="preserve">The JWT will have to be signed with the private key corresponding to the public</w:t>
      </w:r>
      <w:r>
        <w:t xml:space="preserve"> </w:t>
      </w:r>
      <w:r>
        <w:t xml:space="preserve">key stored in the entity client.</w:t>
      </w:r>
    </w:p>
    <w:bookmarkEnd w:id="20"/>
    <w:bookmarkStart w:id="23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7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9"/>
        <w:gridCol w:w="4712"/>
        <w:gridCol w:w="1611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See the</w:t>
            </w:r>
            <w:r>
              <w:t xml:space="preserve"> </w:t>
            </w:r>
            <w:hyperlink r:id="rId26">
              <w:r>
                <w:rPr>
                  <w:rStyle w:val="Hyperkobling"/>
                </w:rPr>
                <w:t xml:space="preserve">list of scopes</w:t>
              </w:r>
            </w:hyperlink>
            <w:r>
              <w:t xml:space="preserve"> </w:t>
            </w:r>
            <w:r>
              <w:t xml:space="preserve">for allowed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_59f998a8f2e664043807375c511f11331608f95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8"/>
    <w:bookmarkStart w:id="29" w:name="_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_authorization"/>
    <w:p>
      <w:pPr>
        <w:pStyle w:val="Overskrift2"/>
      </w:pPr>
      <w:r>
        <w:t xml:space="preserve">Authorization</w:t>
      </w:r>
    </w:p>
    <w:bookmarkStart w:id="42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_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6198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their own clients,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_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3"/>
    <w:bookmarkStart w:id="34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_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_fc1969e12ffa04b3f787795e7ddfde406a09f5a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_b462e6d210ec9c712e4b2292c76af28fc130787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entity_client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6" Target="../auth/scopes.md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entity_client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6" Target="../auth/scopes.md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2026-10-26T14:08:56Z</dcterms:created>
  <dcterms:modified xsi:type="dcterms:W3CDTF">2026-10-26T14:08:56Z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