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_a983e0b58a3bb0c892e147f31bb768c673b01ff"/>
    <w:p>
      <w:pPr>
        <w:pStyle w:val="Overskrift1"/>
      </w:pPr>
      <w:r>
        <w:t xml:space="preserve">Product Type</w:t>
      </w:r>
    </w:p>
    <w:p>
      <w:pPr>
        <w:pStyle w:val="FirstParagraph"/>
      </w:pPr>
      <w:r>
        <w:t xml:space="preserve">A type of product to be bought by system operators on a flexibility market.</w:t>
      </w:r>
      <w:r>
        <w:t xml:space="preserve"> </w:t>
      </w:r>
      <w:r>
        <w:t xml:space="preserve">This resource is a read-only enumeration.</w:t>
      </w:r>
    </w:p>
    <w:bookmarkStart w:id="22" w:name="_context"/>
    <w:p>
      <w:pPr>
        <w:pStyle w:val="Overskrift2"/>
      </w:pPr>
      <w:r>
        <w:t xml:space="preserve">Context</w:t>
      </w:r>
    </w:p>
    <w:p>
      <w:pPr>
        <w:pStyle w:val="FirstParagraph"/>
      </w:pPr>
      <w:r>
        <w:t xml:space="preserve">The list of product types is defined by national terms and conditions with</w:t>
      </w:r>
      <w:r>
        <w:t xml:space="preserve"> </w:t>
      </w:r>
      <w:r>
        <w:t xml:space="preserve">reference to table of equivalences.</w:t>
      </w:r>
    </w:p>
    <w:p>
      <w:pPr>
        <w:pStyle w:val="BodyText"/>
      </w:pPr>
      <w:r>
        <w:t xml:space="preserve">The following is a list of product types, with their corresponding product</w:t>
      </w:r>
      <w:r>
        <w:t xml:space="preserve"> </w:t>
      </w:r>
      <w:r>
        <w:t xml:space="preserve">categories and example/specific products. NODES/EuroFlex currently has three</w:t>
      </w:r>
      <w:r>
        <w:t xml:space="preserve"> </w:t>
      </w:r>
      <w:r>
        <w:t xml:space="preserve">congestion products: LongFlex, ShortFlex and MaxUsage.</w:t>
      </w:r>
      <w:r>
        <w:t xml:space="preserve"> </w:t>
      </w:r>
      <w:hyperlink r:id="rId20">
        <w:r>
          <w:rPr>
            <w:rStyle w:val="Hyperkobling"/>
          </w:rPr>
          <w:t xml:space="preserve">Statnett has a set of products</w:t>
        </w:r>
      </w:hyperlink>
      <w:r>
        <w:t xml:space="preserve">,</w:t>
      </w:r>
      <w:r>
        <w:t xml:space="preserve"> </w:t>
      </w:r>
      <w:r>
        <w:t xml:space="preserve">and we also used a nice overview from</w:t>
      </w:r>
      <w:r>
        <w:t xml:space="preserve"> </w:t>
      </w:r>
      <w:hyperlink r:id="rId21">
        <w:r>
          <w:rPr>
            <w:rStyle w:val="Hyperkobling"/>
          </w:rPr>
          <w:t xml:space="preserve">Energinet</w:t>
        </w:r>
      </w:hyperlink>
      <w:r>
        <w:t xml:space="preserve"> </w:t>
      </w:r>
      <w:r>
        <w:t xml:space="preserve">as input.</w:t>
      </w:r>
    </w:p>
    <w:p>
      <w:pPr>
        <w:pStyle w:val="BodyText"/>
      </w:pPr>
      <w:r>
        <w:t xml:space="preserve">!!! note</w:t>
      </w:r>
      <w:r>
        <w:t xml:space="preserve"> </w:t>
      </w:r>
      <w:r>
        <w:t xml:space="preserve">“The is list is not final nor exhaustive”</w:t>
      </w:r>
    </w:p>
    <w:p>
      <w:pPr>
        <w:pStyle w:val="SourceCode"/>
      </w:pPr>
      <w:r>
        <w:rPr>
          <w:rStyle w:val="VerbatimChar"/>
        </w:rPr>
        <w:t xml:space="preserve">The list of product types is defined for discussion and will probably be</w:t>
      </w:r>
      <w:r>
        <w:br/>
      </w:r>
      <w:r>
        <w:rPr>
          <w:rStyle w:val="VerbatimChar"/>
        </w:rPr>
        <w:t xml:space="preserve">adjusted/extended.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4"/>
        <w:gridCol w:w="2160"/>
        <w:gridCol w:w="1505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 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manual_congestion</w:t>
            </w:r>
          </w:p>
        </w:tc>
        <w:tc>
          <w:tcPr/>
          <w:p>
            <w:pPr>
              <w:pStyle w:val="Compact"/>
            </w:pPr>
            <w:r>
              <w:t xml:space="preserve">Manual Congestion</w:t>
            </w:r>
          </w:p>
        </w:tc>
        <w:tc>
          <w:tcPr/>
          <w:p>
            <w:pPr>
              <w:pStyle w:val="Compact"/>
            </w:pPr>
            <w:r>
              <w:t xml:space="preserve">congestion management</w:t>
            </w:r>
          </w:p>
        </w:tc>
        <w:tc>
          <w:tcPr/>
          <w:p>
            <w:pPr>
              <w:pStyle w:val="Compact"/>
            </w:pPr>
            <w:r>
              <w:t xml:space="preserve">LongFlex, ShortFlex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automatic_congestion</w:t>
            </w:r>
          </w:p>
        </w:tc>
        <w:tc>
          <w:tcPr/>
          <w:p>
            <w:pPr>
              <w:pStyle w:val="Compact"/>
            </w:pPr>
            <w:r>
              <w:t xml:space="preserve">Automatic Congestion</w:t>
            </w:r>
          </w:p>
        </w:tc>
        <w:tc>
          <w:tcPr/>
          <w:p>
            <w:pPr>
              <w:pStyle w:val="Compact"/>
            </w:pPr>
            <w:r>
              <w:t xml:space="preserve">congestion management</w:t>
            </w:r>
          </w:p>
        </w:tc>
        <w:tc>
          <w:tcPr/>
          <w:p>
            <w:pPr>
              <w:pStyle w:val="Compact"/>
            </w:pPr>
            <w:r>
              <w:t xml:space="preserve">MaxUsage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automatic_voltage</w:t>
            </w:r>
          </w:p>
        </w:tc>
        <w:tc>
          <w:tcPr/>
          <w:p>
            <w:pPr>
              <w:pStyle w:val="Compact"/>
            </w:pPr>
            <w:r>
              <w:t xml:space="preserve">Automatic Voltage</w:t>
            </w:r>
          </w:p>
        </w:tc>
        <w:tc>
          <w:tcPr/>
          <w:p>
            <w:pPr>
              <w:pStyle w:val="Compact"/>
            </w:pPr>
            <w:r>
              <w:t xml:space="preserve">voltage control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manual_voltage</w:t>
            </w:r>
          </w:p>
        </w:tc>
        <w:tc>
          <w:tcPr/>
          <w:p>
            <w:pPr>
              <w:pStyle w:val="Compact"/>
            </w:pPr>
            <w:r>
              <w:t xml:space="preserve">Manual Voltage</w:t>
            </w:r>
          </w:p>
        </w:tc>
        <w:tc>
          <w:tcPr/>
          <w:p>
            <w:pPr>
              <w:pStyle w:val="Compact"/>
            </w:pPr>
            <w:r>
              <w:t xml:space="preserve">voltage control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automatic_fast_frequency</w:t>
            </w:r>
          </w:p>
        </w:tc>
        <w:tc>
          <w:tcPr/>
          <w:p>
            <w:pPr>
              <w:pStyle w:val="Compact"/>
            </w:pPr>
            <w:r>
              <w:t xml:space="preserve">Fast Frequency</w:t>
            </w:r>
          </w:p>
        </w:tc>
        <w:tc>
          <w:tcPr/>
          <w:p>
            <w:pPr>
              <w:pStyle w:val="Compact"/>
            </w:pPr>
            <w:r>
              <w:t xml:space="preserve">balancing</w:t>
            </w:r>
          </w:p>
        </w:tc>
        <w:tc>
          <w:tcPr/>
          <w:p>
            <w:pPr>
              <w:pStyle w:val="Compact"/>
            </w:pPr>
            <w:r>
              <w:t xml:space="preserve">FFR Profil, FFR Flex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automatic_frequency_containment</w:t>
            </w:r>
          </w:p>
        </w:tc>
        <w:tc>
          <w:tcPr/>
          <w:p>
            <w:pPr>
              <w:pStyle w:val="Compact"/>
            </w:pPr>
            <w:r>
              <w:t xml:space="preserve">Frequency Containment</w:t>
            </w:r>
          </w:p>
        </w:tc>
        <w:tc>
          <w:tcPr/>
          <w:p>
            <w:pPr>
              <w:pStyle w:val="Compact"/>
            </w:pPr>
            <w:r>
              <w:t xml:space="preserve">balancing</w:t>
            </w:r>
          </w:p>
        </w:tc>
        <w:tc>
          <w:tcPr/>
          <w:p>
            <w:pPr>
              <w:pStyle w:val="Compact"/>
            </w:pPr>
            <w:r>
              <w:t xml:space="preserve">FCR-N, FCR-D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automatic_frequency_restoration</w:t>
            </w:r>
          </w:p>
        </w:tc>
        <w:tc>
          <w:tcPr/>
          <w:p>
            <w:pPr>
              <w:pStyle w:val="Compact"/>
            </w:pPr>
            <w:r>
              <w:t xml:space="preserve">Automatic Frequency Restoration</w:t>
            </w:r>
          </w:p>
        </w:tc>
        <w:tc>
          <w:tcPr/>
          <w:p>
            <w:pPr>
              <w:pStyle w:val="Compact"/>
            </w:pPr>
            <w:r>
              <w:t xml:space="preserve">balancing</w:t>
            </w:r>
          </w:p>
        </w:tc>
        <w:tc>
          <w:tcPr/>
          <w:p>
            <w:pPr>
              <w:pStyle w:val="Compact"/>
            </w:pPr>
            <w:r>
              <w:t xml:space="preserve">aFRR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manual_frequency_restoration</w:t>
            </w:r>
          </w:p>
        </w:tc>
        <w:tc>
          <w:tcPr/>
          <w:p>
            <w:pPr>
              <w:pStyle w:val="Compact"/>
            </w:pPr>
            <w:r>
              <w:t xml:space="preserve">Manual Frequency Restoration</w:t>
            </w:r>
          </w:p>
        </w:tc>
        <w:tc>
          <w:tcPr/>
          <w:p>
            <w:pPr>
              <w:pStyle w:val="Compact"/>
            </w:pPr>
            <w:r>
              <w:t xml:space="preserve">balancing</w:t>
            </w:r>
          </w:p>
        </w:tc>
        <w:tc>
          <w:tcPr/>
          <w:p>
            <w:pPr>
              <w:pStyle w:val="Compact"/>
            </w:pPr>
            <w:r>
              <w:t xml:space="preserve">mFRR EAM, mFRR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manual_frequency_restoration_disruption</w:t>
            </w:r>
          </w:p>
        </w:tc>
        <w:tc>
          <w:tcPr/>
          <w:p>
            <w:pPr>
              <w:pStyle w:val="Compact"/>
            </w:pPr>
            <w:r>
              <w:t xml:space="preserve">Frequency Disruption</w:t>
            </w:r>
          </w:p>
        </w:tc>
        <w:tc>
          <w:tcPr/>
          <w:p>
            <w:pPr>
              <w:pStyle w:val="Compact"/>
            </w:pPr>
            <w:r>
              <w:t xml:space="preserve">balancing</w:t>
            </w:r>
          </w:p>
        </w:tc>
        <w:tc>
          <w:tcPr/>
          <w:p>
            <w:pPr>
              <w:pStyle w:val="Compact"/>
            </w:pPr>
            <w:r>
              <w:t xml:space="preserve">mFRR-D</w:t>
            </w:r>
          </w:p>
        </w:tc>
      </w:tr>
    </w:tbl>
    <w:bookmarkEnd w:id="22"/>
    <w:bookmarkStart w:id="25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kobling"/>
          </w:rPr>
          <w:t xml:space="preserve">Download docx</w:t>
        </w:r>
      </w:hyperlink>
    </w:p>
    <w:bookmarkEnd w:id="25"/>
    <w:bookmarkStart w:id="26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76"/>
        <w:gridCol w:w="2416"/>
        <w:gridCol w:w="1834"/>
        <w:gridCol w:w="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identifier.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business_id</w:t>
            </w:r>
          </w:p>
        </w:tc>
        <w:tc>
          <w:tcPr/>
          <w:p>
            <w:pPr>
              <w:pStyle w:val="Compact"/>
            </w:pPr>
            <w:r>
              <w:t xml:space="preserve">The code for this product type.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The name of the product type.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Max length:</w:t>
            </w:r>
            <w:r>
              <w:t xml:space="preserve"> </w:t>
            </w:r>
            <w:r>
              <w:rPr>
                <w:rStyle w:val="VerbatimChar"/>
              </w:rPr>
              <w:t xml:space="preserve">64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The service offered by the product type.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Examples of products belonging to this product type.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_59f998a8f2e664043807375c511f11331608f95"/>
    <w:p>
      <w:pPr>
        <w:pStyle w:val="Overskrift2"/>
      </w:pPr>
      <w:r>
        <w:t xml:space="preserve">Validation Rules</w:t>
      </w:r>
    </w:p>
    <w:p>
      <w:pPr>
        <w:pStyle w:val="FirstParagraph"/>
      </w:pPr>
      <w:r>
        <w:t xml:space="preserve">No validation rules.</w:t>
      </w:r>
    </w:p>
    <w:bookmarkEnd w:id="27"/>
    <w:bookmarkStart w:id="28" w:name="_notifications"/>
    <w:p>
      <w:pPr>
        <w:pStyle w:val="Overskrift2"/>
      </w:pPr>
      <w:r>
        <w:t xml:space="preserve">Notifications</w:t>
      </w:r>
    </w:p>
    <w:p>
      <w:pPr>
        <w:pStyle w:val="FirstParagraph"/>
      </w:pPr>
      <w:r>
        <w:t xml:space="preserve">No notifications.</w:t>
      </w:r>
    </w:p>
    <w:bookmarkEnd w:id="28"/>
    <w:bookmarkStart w:id="44" w:name="_authorization"/>
    <w:p>
      <w:pPr>
        <w:pStyle w:val="Overskrift2"/>
      </w:pPr>
      <w:r>
        <w:t xml:space="preserve">Authorization</w:t>
      </w:r>
    </w:p>
    <w:bookmarkStart w:id="41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9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30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0"/>
    <w:bookmarkStart w:id="31" w:name="_entity"/>
    <w:p>
      <w:pPr>
        <w:pStyle w:val="Overskrift4"/>
      </w:pPr>
      <w:r>
        <w:t xml:space="preserve">Entity</w:t>
      </w:r>
    </w:p>
    <w:p>
      <w:pPr>
        <w:pStyle w:val="FirstParagraph"/>
      </w:pPr>
      <w:r>
        <w:t xml:space="preserve">No policies.</w:t>
      </w:r>
    </w:p>
    <w:bookmarkEnd w:id="31"/>
    <w:bookmarkStart w:id="32" w:name="_common"/>
    <w:p>
      <w:pPr>
        <w:pStyle w:val="Overskrift4"/>
      </w:pPr>
      <w:r>
        <w:t xml:space="preserve">Common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PT-COM001</w:t>
            </w:r>
          </w:p>
        </w:tc>
        <w:tc>
          <w:tcPr/>
          <w:p>
            <w:pPr>
              <w:pStyle w:val="Compact"/>
            </w:pPr>
            <w:r>
              <w:t xml:space="preserve">Read all product types.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2"/>
    <w:bookmarkStart w:id="33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3"/>
    <w:bookmarkStart w:id="34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4"/>
    <w:bookmarkStart w:id="35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5"/>
    <w:bookmarkStart w:id="36" w:name="_205d448ec611aeec17125b0a6a21826729c6ace"/>
    <w:p>
      <w:pPr>
        <w:pStyle w:val="Overskrift4"/>
      </w:pPr>
      <w:r>
        <w:t xml:space="preserve">Flexibility Information System Operator</w:t>
      </w:r>
    </w:p>
    <w:p>
      <w:pPr>
        <w:pStyle w:val="FirstParagraph"/>
      </w:pPr>
      <w:r>
        <w:t xml:space="preserve">No policies.</w:t>
      </w:r>
    </w:p>
    <w:bookmarkEnd w:id="36"/>
    <w:bookmarkStart w:id="37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7"/>
    <w:bookmarkStart w:id="38" w:name="_fc1969e12ffa04b3f787795e7ddfde406a09f5a"/>
    <w:p>
      <w:pPr>
        <w:pStyle w:val="Overskrift4"/>
      </w:pPr>
      <w:r>
        <w:t xml:space="preserve">System Operator</w:t>
      </w:r>
    </w:p>
    <w:p>
      <w:pPr>
        <w:pStyle w:val="FirstParagraph"/>
      </w:pPr>
      <w:r>
        <w:t xml:space="preserve">No policies.</w:t>
      </w:r>
    </w:p>
    <w:bookmarkEnd w:id="38"/>
    <w:bookmarkStart w:id="39" w:name="_b462e6d210ec9c712e4b2292c76af28fc130787"/>
    <w:p>
      <w:pPr>
        <w:pStyle w:val="Overskrift4"/>
      </w:pPr>
      <w:r>
        <w:t xml:space="preserve">Service Provider</w:t>
      </w:r>
    </w:p>
    <w:p>
      <w:pPr>
        <w:pStyle w:val="FirstParagraph"/>
      </w:pPr>
      <w:r>
        <w:t xml:space="preserve">No policies.</w:t>
      </w:r>
    </w:p>
    <w:bookmarkEnd w:id="39"/>
    <w:bookmarkStart w:id="40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40"/>
    <w:bookmarkEnd w:id="41"/>
    <w:bookmarkStart w:id="43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2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</w:tbl>
    <w:bookmarkEnd w:id="43"/>
    <w:bookmarkEnd w:id="44"/>
    <w:bookmarkEnd w:id="45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3" Target="../api/v1/index.html#/operations/list_product_type" TargetMode="External" /><Relationship Type="http://schemas.openxmlformats.org/officeDocument/2006/relationships/hyperlink" Id="rId42" Target="../auth/authn-model.md#party-market-actors" TargetMode="External" /><Relationship Type="http://schemas.openxmlformats.org/officeDocument/2006/relationships/hyperlink" Id="rId29" Target="../auth/authz-model.md#resource-level-authorization-rla" TargetMode="External" /><Relationship Type="http://schemas.openxmlformats.org/officeDocument/2006/relationships/hyperlink" Id="rId24" Target="../download/product_type.docx" TargetMode="External" /><Relationship Type="http://schemas.openxmlformats.org/officeDocument/2006/relationships/hyperlink" Id="rId21" Target="https://energinet.dk/el/systemydelser/introduktion-til-systemydelser/oversigt-over-systemydelser/" TargetMode="External" /><Relationship Type="http://schemas.openxmlformats.org/officeDocument/2006/relationships/hyperlink" Id="rId20" Target="https://www.statnett.no/for-aktorer-i-kraftbransjen/systemansvaret/kraftmarkedet/reservemarkeder/kort-om-de-ulike-reserven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api/v1/index.html#/operations/list_product_type" TargetMode="External" /><Relationship Type="http://schemas.openxmlformats.org/officeDocument/2006/relationships/hyperlink" Id="rId42" Target="../auth/authn-model.md#party-market-actors" TargetMode="External" /><Relationship Type="http://schemas.openxmlformats.org/officeDocument/2006/relationships/hyperlink" Id="rId29" Target="../auth/authz-model.md#resource-level-authorization-rla" TargetMode="External" /><Relationship Type="http://schemas.openxmlformats.org/officeDocument/2006/relationships/hyperlink" Id="rId24" Target="../download/product_type.docx" TargetMode="External" /><Relationship Type="http://schemas.openxmlformats.org/officeDocument/2006/relationships/hyperlink" Id="rId21" Target="https://energinet.dk/el/systemydelser/introduktion-til-systemydelser/oversigt-over-systemydelser/" TargetMode="External" /><Relationship Type="http://schemas.openxmlformats.org/officeDocument/2006/relationships/hyperlink" Id="rId20" Target="https://www.statnett.no/for-aktorer-i-kraftbransjen/systemansvaret/kraftmarkedet/reservemarkeder/kort-om-de-ulike-reservene/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2026-10-26T14:08:57Z</dcterms:created>
  <dcterms:modified xsi:type="dcterms:W3CDTF">2026-10-26T14:08:57Z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