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_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_bc51bc7884935050bebf5ab9162964f41bc55ed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While an application is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, the service provider can also withdraw it</w:t>
      </w:r>
      <w:r>
        <w:t xml:space="preserve"> </w:t>
      </w:r>
      <w:r>
        <w:t xml:space="preserve">by setting the status to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 An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application is not processed</w:t>
      </w:r>
      <w:r>
        <w:t xml:space="preserve"> </w:t>
      </w:r>
      <w:r>
        <w:t xml:space="preserve">and does not make the SPG ready for market. The service provider can put it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later. Inactive applications do not trigger SPG grid</w:t>
      </w:r>
      <w:r>
        <w:t xml:space="preserve"> </w:t>
      </w:r>
      <w:r>
        <w:t xml:space="preserve">prequalifications.</w:t>
      </w:r>
    </w:p>
    <w:p>
      <w:pPr>
        <w:pStyle w:val="BodyText"/>
      </w:pPr>
      <w:r>
        <w:t xml:space="preserve">Once an application moves past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, the system creates an SPG grid</w:t>
      </w:r>
      <w:r>
        <w:t xml:space="preserve"> </w:t>
      </w:r>
      <w:r>
        <w:t xml:space="preserve">prequalification for the procuring system operator and for each impacted system operator.</w:t>
      </w:r>
      <w:r>
        <w:t xml:space="preserve"> </w:t>
      </w:r>
      <w:r>
        <w:t xml:space="preserve">The system also checks this regularly, so any missing grid prequalifications are created.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5"/>
        <w:gridCol w:w="2207"/>
        <w:gridCol w:w="2527"/>
        <w:gridCol w:w="11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  <w:r>
              <w:t xml:space="preserve">Whether the service providing group can ramp in accordance with the product requirements during both activation and deactivation.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  <w:r>
              <w:t xml:space="preserve">Free text description of ramping details. Only required for product Manual Frequency Restoration (mFRR).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When the application was first created.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complete_at</w:t>
            </w:r>
          </w:p>
        </w:tc>
        <w:tc>
          <w:tcPr/>
          <w:p>
            <w:pPr>
              <w:pStyle w:val="Compact"/>
            </w:pPr>
            <w:r>
              <w:t xml:space="preserve">When the application was last marked complete by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SPGPA-VAL007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Frequency Restoration,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ramping_capability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SPGPA-VAL008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Frequency Restoration,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ramping_description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SPGPA-VAL010</w:t>
            </w:r>
          </w:p>
        </w:tc>
        <w:tc>
          <w:tcPr/>
          <w:p>
            <w:pPr>
              <w:pStyle w:val="Compact"/>
            </w:pPr>
            <w:r>
              <w:t xml:space="preserve">Product types can be applied for only once per SPG and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SPGPA-VAL011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different from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complete_at</w:t>
            </w:r>
            <w:r>
              <w:t xml:space="preserve"> </w:t>
            </w:r>
            <w:r>
              <w:t xml:space="preserve">must be 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_authorization"/>
    <w:p>
      <w:pPr>
        <w:pStyle w:val="Overskrift2"/>
      </w:pPr>
      <w:r>
        <w:t xml:space="preserve">Authorization</w:t>
      </w:r>
    </w:p>
    <w:bookmarkStart w:id="44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7016"/>
        <w:gridCol w:w="3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 or set from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or from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/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complete_at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2026-10-26T14:08:57Z</dcterms:created>
  <dcterms:modified xsi:type="dcterms:W3CDTF">2026-10-26T14:08:57Z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