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the assets that the</w:t>
      </w:r>
      <w:r>
        <w:t xml:space="preserve"> </w:t>
      </w:r>
      <w:r>
        <w:t xml:space="preserve">controllable unit consists of. A controllable unit can contain several technical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1519"/>
        <w:gridCol w:w="4512"/>
        <w:gridCol w:w="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Technologies of the technical resource. Multiple technologies can be given, e.g. solar and battery for hybrid inverters.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hydropower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hydropower.pumped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hydropower.run_of_river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heat_power_plant.chp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backup_generator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hvac.heat_pump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lighting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water_heater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ev_charging_device.v2g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battery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other.energy_storage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Categories derived from the technologies of the technical resource. Automatically computed based on the selected technologies.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energy_storage</w:t>
            </w:r>
            <w:r>
              <w:t xml:space="preserve">Read only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Rated power in kilowatts. This is the maximum nominal continuous power of the device, typically defined by the manufacturer.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The type of device.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The manufacturer of the device. Required if model or business id is provided.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Must be provided if model or business id is specified.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The model of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of the device, such as a serial number or MAC address.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business identifier used for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serial_number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technical resource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5956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  <w:r>
              <w:t xml:space="preserve"> </w:t>
            </w:r>
            <w:r>
              <w:t xml:space="preserve">is required if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provided.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2026-06-09T08:32:18Z</dcterms:created>
  <dcterms:modified xsi:type="dcterms:W3CDTF">2026-06-09T08:32:18Z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