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Client linked to an entity for client credentials and JWT grant authentication</w:t>
      </w:r>
      <w:r>
        <w:t xml:space="preserve"> </w:t>
      </w:r>
      <w:r>
        <w:t xml:space="preserve">methods. An entity can have several clients registered.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4657"/>
        <w:gridCol w:w="1593"/>
        <w:gridCol w:w="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7"/>
        <w:gridCol w:w="779"/>
        <w:gridCol w:w="649"/>
        <w:gridCol w:w="519"/>
        <w:gridCol w:w="519"/>
        <w:gridCol w:w="779"/>
        <w:gridCol w:w="519"/>
        <w:gridCol w:w="519"/>
        <w:gridCol w:w="519"/>
        <w:gridCol w:w="519"/>
        <w:gridCol w:w="6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2026-01-13T11:36:22Z</dcterms:created>
  <dcterms:modified xsi:type="dcterms:W3CDTF">2026-01-13T11:36:22Z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