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units and resources that the</w:t>
      </w:r>
      <w:r>
        <w:t xml:space="preserve"> </w:t>
      </w:r>
      <w:r>
        <w:t xml:space="preserve">controllable unit consists of. The purpose of this resource is to register</w:t>
      </w:r>
      <w:r>
        <w:t xml:space="preserve"> </w:t>
      </w:r>
      <w:r>
        <w:t xml:space="preserve">information that can help procuring system operators performing product</w:t>
      </w:r>
      <w:r>
        <w:t xml:space="preserve"> </w:t>
      </w:r>
      <w:r>
        <w:t xml:space="preserve">pre-qualification and simplify that evaluation if controllable units are</w:t>
      </w:r>
      <w:r>
        <w:t xml:space="preserve"> </w:t>
      </w:r>
      <w:r>
        <w:t xml:space="preserve">identical. A controllable unit can contain several technical 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4"/>
        <w:gridCol w:w="2258"/>
        <w:gridCol w:w="1173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8"/>
        <w:gridCol w:w="6772"/>
        <w:gridCol w:w="4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TR-MO001</w:t>
            </w:r>
          </w:p>
        </w:tc>
        <w:tc>
          <w:tcPr/>
          <w:p>
            <w:pPr>
              <w:pStyle w:val="Compact"/>
            </w:pPr>
            <w:r>
              <w:t xml:space="preserve">Read TR data on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TR-MO002</w:t>
            </w:r>
          </w:p>
        </w:tc>
        <w:tc>
          <w:tcPr/>
          <w:p>
            <w:pPr>
              <w:pStyle w:val="Compact"/>
            </w:pPr>
            <w:r>
              <w:t xml:space="preserve">Read TR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