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_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_authorization"/>
    <w:p>
      <w:pPr>
        <w:pStyle w:val="Overskrift2"/>
      </w:pPr>
      <w:r>
        <w:t xml:space="preserve">Authorization</w:t>
      </w:r>
    </w:p>
    <w:bookmarkStart w:id="40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_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_33d042ea865d9ccdd21972e4941eb9a3e57dea9"/>
    <w:p>
      <w:pPr>
        <w:pStyle w:val="Overskrift4"/>
      </w:pPr>
      <w:r>
        <w:t xml:space="preserve">Balance Responsible Party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APBRP-BRP001</w:t>
            </w:r>
          </w:p>
        </w:tc>
        <w:tc>
          <w:tcPr/>
          <w:p>
            <w:pPr>
              <w:pStyle w:val="Compact"/>
            </w:pPr>
            <w:r>
              <w:t xml:space="preserve">Read their own APBRP records.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9"/>
        <w:gridCol w:w="659"/>
        <w:gridCol w:w="549"/>
        <w:gridCol w:w="439"/>
        <w:gridCol w:w="439"/>
        <w:gridCol w:w="659"/>
        <w:gridCol w:w="43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2026-10-13T18:18:51Z</dcterms:created>
  <dcterms:modified xsi:type="dcterms:W3CDTF">2026-10-13T18:18:51Z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