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_notice"/>
    <w:p>
      <w:pPr>
        <w:pStyle w:val="Overskrift1"/>
      </w:pPr>
      <w:r>
        <w:t xml:space="preserve">Notice</w:t>
      </w:r>
    </w:p>
    <w:p>
      <w:pPr>
        <w:pStyle w:val="FirstParagraph"/>
      </w:pPr>
      <w:r>
        <w:t xml:space="preserve">Notice to users about various issues or actions expected from them.</w:t>
      </w:r>
    </w:p>
    <w:p>
      <w:pPr>
        <w:pStyle w:val="BodyText"/>
      </w:pPr>
      <w:r>
        <w:t xml:space="preserve">For information about the concept, see</w:t>
      </w:r>
      <w:r>
        <w:t xml:space="preserve"> </w:t>
      </w:r>
      <w:hyperlink r:id="rId20">
        <w:r>
          <w:rPr>
            <w:rStyle w:val="Hyperkobling"/>
          </w:rPr>
          <w:t xml:space="preserve">notification and notice</w:t>
        </w:r>
      </w:hyperlink>
      <w:r>
        <w:t xml:space="preserve">.</w:t>
      </w:r>
    </w:p>
    <w:bookmarkStart w:id="21" w:name="_context"/>
    <w:p>
      <w:pPr>
        <w:pStyle w:val="Overskrift2"/>
      </w:pPr>
      <w:r>
        <w:t xml:space="preserve">Context</w:t>
      </w:r>
    </w:p>
    <w:p>
      <w:pPr>
        <w:pStyle w:val="FirstParagraph"/>
      </w:pPr>
      <w:r>
        <w:t xml:space="preserve">The following is an overview of notices with description and actions required</w:t>
      </w:r>
      <w:r>
        <w:t xml:space="preserve"> </w:t>
      </w:r>
      <w:r>
        <w:t xml:space="preserve">from the responsible party.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3"/>
        <w:gridCol w:w="2202"/>
        <w:gridCol w:w="470"/>
        <w:gridCol w:w="3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no.elhub.flex.accounting_point_grid_location.missing</w:t>
            </w:r>
          </w:p>
        </w:tc>
        <w:tc>
          <w:tcPr/>
          <w:p>
            <w:pPr>
              <w:pStyle w:val="Compact"/>
            </w:pPr>
            <w:r>
              <w:t xml:space="preserve">Accounting point has no grid location registered</w:t>
            </w:r>
          </w:p>
        </w:tc>
        <w:tc>
          <w:tcPr/>
          <w:p>
            <w:pPr>
              <w:pStyle w:val="Compact"/>
            </w:pPr>
            <w:r>
              <w:t xml:space="preserve">CSO</w:t>
            </w:r>
          </w:p>
        </w:tc>
        <w:tc>
          <w:tcPr/>
          <w:p>
            <w:pPr>
              <w:pStyle w:val="Compact"/>
            </w:pPr>
            <w:r>
              <w:t xml:space="preserve">Register a grid location for the accounting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no.elhub.flex.accounting_point_grid_location.source_insufficient</w:t>
            </w:r>
          </w:p>
        </w:tc>
        <w:tc>
          <w:tcPr/>
          <w:p>
            <w:pPr>
              <w:pStyle w:val="Compact"/>
            </w:pPr>
            <w:r>
              <w:t xml:space="preserve">Grid location source must be</w:t>
            </w:r>
            <w:r>
              <w:t xml:space="preserve"> </w:t>
            </w:r>
            <w:r>
              <w:rPr>
                <w:rStyle w:val="VerbatimChar"/>
              </w:rPr>
              <w:t xml:space="preserve">cso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grid_model</w:t>
            </w:r>
            <w:r>
              <w:t xml:space="preserve"> </w:t>
            </w:r>
            <w:r>
              <w:t xml:space="preserve">for APs with CUs that are not small</w:t>
            </w:r>
          </w:p>
        </w:tc>
        <w:tc>
          <w:tcPr/>
          <w:p>
            <w:pPr>
              <w:pStyle w:val="Compact"/>
            </w:pPr>
            <w:r>
              <w:t xml:space="preserve">CSO</w:t>
            </w:r>
          </w:p>
        </w:tc>
        <w:tc>
          <w:tcPr/>
          <w:p>
            <w:pPr>
              <w:pStyle w:val="Compact"/>
            </w:pPr>
            <w:r>
              <w:t xml:space="preserve">Confirm or update the grid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no.elhub.flex.controllable_unit_service_provider.valid_time.outside_contract</w:t>
            </w:r>
          </w:p>
        </w:tc>
        <w:tc>
          <w:tcPr/>
          <w:p>
            <w:pPr>
              <w:pStyle w:val="Compact"/>
            </w:pPr>
            <w:r>
              <w:t xml:space="preserve">Inconsistency: CUSP valid while end user is not valid on the AP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Update CUSP to match the updated end user data from Elhub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no.elhub.flex.controllable_unit.maximum_active_power.ratio</w:t>
            </w:r>
          </w:p>
        </w:tc>
        <w:tc>
          <w:tcPr/>
          <w:p>
            <w:pPr>
              <w:pStyle w:val="Compact"/>
            </w:pPr>
            <w:r>
              <w:t xml:space="preserve">Inconsistency: Flexible power exceeds rated power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Update the flexible power or add technical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no.elhub.flex.controllable_unit_suspension.not_active</w:t>
            </w:r>
          </w:p>
        </w:tc>
        <w:tc>
          <w:tcPr/>
          <w:p>
            <w:pPr>
              <w:pStyle w:val="Compact"/>
            </w:pPr>
            <w:r>
              <w:t xml:space="preserve">Inconsistency: suspending a CU that is no longer active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Delete the suspension because it is useless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no.elhub.flex.controllable_unit_suspension.lingering</w:t>
            </w:r>
          </w:p>
        </w:tc>
        <w:tc>
          <w:tcPr/>
          <w:p>
            <w:pPr>
              <w:pStyle w:val="Compact"/>
            </w:pPr>
            <w:r>
              <w:t xml:space="preserve">Inactivity: nothing has happened on the suspension in 2 weeks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Suspension is a temporary procedure. Consider reinstating the CU and use other lighter mechanisms to limit the use of the CU.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no.elhub.flex.controllable_unit.service_providing_group.product_duplication</w:t>
            </w:r>
          </w:p>
        </w:tc>
        <w:tc>
          <w:tcPr/>
          <w:p>
            <w:pPr>
              <w:pStyle w:val="Compact"/>
            </w:pPr>
            <w:r>
              <w:t xml:space="preserve">Inconsistency: CU registered in multiple SPGs with active applications for the same product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Remove the CU from one of the SPGs or cancel one of the conflicting product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no.elhub.flex.party.missing</w:t>
            </w:r>
          </w:p>
        </w:tc>
        <w:tc>
          <w:tcPr/>
          <w:p>
            <w:pPr>
              <w:pStyle w:val="Compact"/>
            </w:pPr>
            <w:r>
              <w:t xml:space="preserve">Party listed by an external source but not registered in the system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Create party to match the latest data fetched from the external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no.elhub.flex.party.outdated</w:t>
            </w:r>
          </w:p>
        </w:tc>
        <w:tc>
          <w:tcPr/>
          <w:p>
            <w:pPr>
              <w:pStyle w:val="Compact"/>
            </w:pPr>
            <w:r>
              <w:t xml:space="preserve">Mismatch in party data between system and an external source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Update party to match the latest data fetched from the external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no.elhub.flex.party.residual</w:t>
            </w:r>
          </w:p>
        </w:tc>
        <w:tc>
          <w:tcPr/>
          <w:p>
            <w:pPr>
              <w:pStyle w:val="Compact"/>
            </w:pPr>
            <w:r>
              <w:t xml:space="preserve">Party registered in the system but not listed by an external source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Delete party to match the latest data fetched from the external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no.elhub.flex.service_provider_product_application.status.requested</w:t>
            </w:r>
          </w:p>
        </w:tc>
        <w:tc>
          <w:tcPr/>
          <w:p>
            <w:pPr>
              <w:pStyle w:val="Compact"/>
            </w:pPr>
            <w:r>
              <w:t xml:space="preserve">SP product application status requested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Initiate SP product qualification and 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no.elhub.flex.service_providing_group.balance_responsible_party.multiple</w:t>
            </w:r>
          </w:p>
        </w:tc>
        <w:tc>
          <w:tcPr/>
          <w:p>
            <w:pPr>
              <w:pStyle w:val="Compact"/>
            </w:pPr>
            <w:r>
              <w:t xml:space="preserve">Inconsistency: Multiple BRPs in a single SPG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Make sure the SPG only contains CU currently associated to the same BRP on their accounting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no.elhub.flex.service_providing_group_grid_prequalification.status.requested</w:t>
            </w:r>
          </w:p>
        </w:tc>
        <w:tc>
          <w:tcPr/>
          <w:p>
            <w:pPr>
              <w:pStyle w:val="Compact"/>
            </w:pPr>
            <w:r>
              <w:t xml:space="preserve">SPG grid prequalification status requested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Initiate SPG grid prequalification and 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no.elhub.flex.service_providing_group_membership.valid_time.outside_contract</w:t>
            </w:r>
          </w:p>
        </w:tc>
        <w:tc>
          <w:tcPr/>
          <w:p>
            <w:pPr>
              <w:pStyle w:val="Compact"/>
            </w:pPr>
            <w:r>
              <w:t xml:space="preserve">Inconsistency: SPG contains expired CU(s)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Validate and update SPG 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no.elhub.flex.service_providing_group_membership.bidding_zone_mismatch</w:t>
            </w:r>
          </w:p>
        </w:tc>
        <w:tc>
          <w:tcPr/>
          <w:p>
            <w:pPr>
              <w:pStyle w:val="Compact"/>
            </w:pPr>
            <w:r>
              <w:t xml:space="preserve">Inconsistency: The CUs bidding zone does not match the one on the SPG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End or update the valid time on the SPG 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no.elhub.flex.service_providing_group_product_application.status.requested</w:t>
            </w:r>
          </w:p>
        </w:tc>
        <w:tc>
          <w:tcPr/>
          <w:p>
            <w:pPr>
              <w:pStyle w:val="Compact"/>
            </w:pPr>
            <w:r>
              <w:t xml:space="preserve">SPG product application status requested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Initiate SPG product prequalification and update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no.elhub.flex.service_provider_product_suspension.product_type.not_qualified</w:t>
            </w:r>
          </w:p>
        </w:tc>
        <w:tc>
          <w:tcPr/>
          <w:p>
            <w:pPr>
              <w:pStyle w:val="Compact"/>
            </w:pPr>
            <w:r>
              <w:t xml:space="preserve">Inconsistency: suspending a SP on a product type that they are no longer qualified for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Delete the suspension because it is useless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no.elhub.flex.service_provider_product_suspension.lingering</w:t>
            </w:r>
          </w:p>
        </w:tc>
        <w:tc>
          <w:tcPr/>
          <w:p>
            <w:pPr>
              <w:pStyle w:val="Compact"/>
            </w:pPr>
            <w:r>
              <w:t xml:space="preserve">Inactivity: nothing has happened on the suspension in 2 weeks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Suspension is a temporary procedure. Consider reinstating the SP or removing their qualification.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no.elhub.flex.service_providing_group_grid_suspension.not_grid_prequalified</w:t>
            </w:r>
          </w:p>
        </w:tc>
        <w:tc>
          <w:tcPr/>
          <w:p>
            <w:pPr>
              <w:pStyle w:val="Compact"/>
            </w:pPr>
            <w:r>
              <w:t xml:space="preserve">Inconsistency: suspending a SPG that they no longer consider grid prequalified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Delete the suspension because it is useless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no.elhub.flex.service_providing_group_grid_suspension.lingering</w:t>
            </w:r>
          </w:p>
        </w:tc>
        <w:tc>
          <w:tcPr/>
          <w:p>
            <w:pPr>
              <w:pStyle w:val="Compact"/>
            </w:pPr>
            <w:r>
              <w:t xml:space="preserve">Inactivity: nothing has happened on the suspension in 2 weeks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Suspension is a temporary procedure. Consider reinstating the SPG or removing their grid prequalification.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no.elhub.flex.service_providing_group_product_suspension.product_type.not_qualified</w:t>
            </w:r>
          </w:p>
        </w:tc>
        <w:tc>
          <w:tcPr/>
          <w:p>
            <w:pPr>
              <w:pStyle w:val="Compact"/>
            </w:pPr>
            <w:r>
              <w:t xml:space="preserve">Inconsistency: suspending a SPG on a product type that they are no longer qualified for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Delete the suspension because it is useless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no.elhub.flex.service_providing_group_product_suspension.lingering</w:t>
            </w:r>
          </w:p>
        </w:tc>
        <w:tc>
          <w:tcPr/>
          <w:p>
            <w:pPr>
              <w:pStyle w:val="Compact"/>
            </w:pPr>
            <w:r>
              <w:t xml:space="preserve">Inactivity: nothing has happened on the suspension in 2 weeks</w:t>
            </w:r>
          </w:p>
        </w:tc>
        <w:tc>
          <w:tcPr/>
          <w:p>
            <w:pPr>
              <w:pStyle w:val="Compact"/>
            </w:pPr>
            <w:r>
              <w:t xml:space="preserve">PSO</w:t>
            </w:r>
          </w:p>
        </w:tc>
        <w:tc>
          <w:tcPr/>
          <w:p>
            <w:pPr>
              <w:pStyle w:val="Compact"/>
            </w:pPr>
            <w:r>
              <w:t xml:space="preserve">Suspension is a temporary procedure. Consider reinstating the SPG or removing their qualification.</w:t>
            </w:r>
          </w:p>
        </w:tc>
      </w:tr>
    </w:tbl>
    <w:bookmarkEnd w:id="21"/>
    <w:bookmarkStart w:id="24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kobling"/>
          </w:rPr>
          <w:t xml:space="preserve">Download docx</w:t>
        </w:r>
      </w:hyperlink>
    </w:p>
    <w:bookmarkEnd w:id="24"/>
    <w:bookmarkStart w:id="26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2"/>
        <w:gridCol w:w="2291"/>
        <w:gridCol w:w="2190"/>
        <w:gridCol w:w="10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notice.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  <w:r>
              <w:t xml:space="preserve">Reference to the party targeted by the notice.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The type of the notice.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^no.elhub.flex.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The URI of the resource concerned by the event.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^(\/([a-z][a-z_]*\|[0-9]+))+$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The data of the notice.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7"/>
    <w:bookmarkStart w:id="28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8"/>
    <w:bookmarkStart w:id="44" w:name="_authorization"/>
    <w:p>
      <w:pPr>
        <w:pStyle w:val="Overskrift2"/>
      </w:pPr>
      <w:r>
        <w:t xml:space="preserve">Authorization</w:t>
      </w:r>
    </w:p>
    <w:bookmarkStart w:id="41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9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31"/>
    <w:bookmarkStart w:id="32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NOTICE-COM001</w:t>
            </w:r>
          </w:p>
        </w:tc>
        <w:tc>
          <w:tcPr/>
          <w:p>
            <w:pPr>
              <w:pStyle w:val="Compact"/>
            </w:pPr>
            <w:r>
              <w:t xml:space="preserve">Read notices targeted to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2"/>
    <w:bookmarkStart w:id="33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3"/>
    <w:bookmarkStart w:id="34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4"/>
    <w:bookmarkStart w:id="35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5"/>
    <w:bookmarkStart w:id="36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NOTICE-FISO001</w:t>
            </w:r>
          </w:p>
        </w:tc>
        <w:tc>
          <w:tcPr/>
          <w:p>
            <w:pPr>
              <w:pStyle w:val="Compact"/>
            </w:pPr>
            <w:r>
              <w:t xml:space="preserve">Read all notices.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7"/>
    <w:bookmarkStart w:id="38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8"/>
    <w:bookmarkStart w:id="39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9"/>
    <w:bookmarkStart w:id="40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0"/>
    <w:bookmarkEnd w:id="41"/>
    <w:bookmarkStart w:id="43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2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End w:id="44"/>
    <w:bookmarkEnd w:id="45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2" Target="../api/v1/index.html#/operations/list_notice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0" Target="../concepts/notification-and-notice.md" TargetMode="External" /><Relationship Type="http://schemas.openxmlformats.org/officeDocument/2006/relationships/hyperlink" Id="rId23" Target="../download/notice.docx" TargetMode="External" /><Relationship Type="http://schemas.openxmlformats.org/officeDocument/2006/relationships/hyperlink" Id="rId25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api/v1/index.html#/operations/list_notice" TargetMode="External" /><Relationship Type="http://schemas.openxmlformats.org/officeDocument/2006/relationships/hyperlink" Id="rId42" Target="../auth/authn-model.md#party-market-actors" TargetMode="External" /><Relationship Type="http://schemas.openxmlformats.org/officeDocument/2006/relationships/hyperlink" Id="rId29" Target="../auth/authz-model.md#resource-level-authorization-rla" TargetMode="External" /><Relationship Type="http://schemas.openxmlformats.org/officeDocument/2006/relationships/hyperlink" Id="rId20" Target="../concepts/notification-and-notice.md" TargetMode="External" /><Relationship Type="http://schemas.openxmlformats.org/officeDocument/2006/relationships/hyperlink" Id="rId23" Target="../download/notice.docx" TargetMode="External" /><Relationship Type="http://schemas.openxmlformats.org/officeDocument/2006/relationships/hyperlink" Id="rId25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2026-10-13T18:18:52Z</dcterms:created>
  <dcterms:modified xsi:type="dcterms:W3CDTF">2026-10-13T18:18:52Z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