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1"/>
        <w:gridCol w:w="2481"/>
        <w:gridCol w:w="3265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This field is controlled by the system operator, but can be set by the service provider when creating the controllable unit if they have the information.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0" w:name="authorization"/>
    <w:p>
      <w:pPr>
        <w:pStyle w:val="Overskrift2"/>
      </w:pPr>
      <w:r>
        <w:t xml:space="preserve">Authorization</w:t>
      </w:r>
    </w:p>
    <w:bookmarkStart w:id="47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3"/>
    <w:bookmarkStart w:id="44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4"/>
    <w:bookmarkStart w:id="45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6"/>
    <w:bookmarkEnd w:id="47"/>
    <w:bookmarkStart w:id="49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8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End w:id="50"/>
    <w:bookmarkEnd w:id="51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