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c4ee095706da034af093450e19895873b70241d"/>
    <w:p>
      <w:pPr>
        <w:pStyle w:val="Overskrift1"/>
      </w:pPr>
      <w:r>
        <w:t xml:space="preserve">Service Providing Group Product Application</w:t>
      </w:r>
    </w:p>
    <w:p>
      <w:pPr>
        <w:pStyle w:val="FirstParagraph"/>
      </w:pPr>
      <w:r>
        <w:t xml:space="preserve">Relation uniquely linking a service providing group and a system operator for a</w:t>
      </w:r>
      <w:r>
        <w:t xml:space="preserve"> </w:t>
      </w:r>
      <w:r>
        <w:t xml:space="preserve">product type, for the SPG to deliver a product to the SO later.</w:t>
      </w:r>
    </w:p>
    <w:bookmarkStart w:id="23" w:name="application-status-transitions"/>
    <w:p>
      <w:pPr>
        <w:pStyle w:val="Overskrift2"/>
      </w:pPr>
      <w:r>
        <w:t xml:space="preserve">Application status transitions</w:t>
      </w:r>
    </w:p>
    <w:p>
      <w:pPr>
        <w:pStyle w:val="FirstParagraph"/>
      </w:pPr>
      <w:r>
        <w:t xml:space="preserve">The following diagram shows the status transitions for service providing group</w:t>
      </w:r>
      <w:r>
        <w:t xml:space="preserve"> </w:t>
      </w:r>
      <w:r>
        <w:t xml:space="preserve">applications. This resource supports the application process and is updated as</w:t>
      </w:r>
      <w:r>
        <w:t xml:space="preserve"> </w:t>
      </w:r>
      <w:r>
        <w:t xml:space="preserve">it progresses.</w:t>
      </w:r>
    </w:p>
    <w:p>
      <w:pPr>
        <w:pStyle w:val="BodyText"/>
      </w:pPr>
      <w:r>
        <w:t xml:space="preserve">The service provider is responsible for creating a new SPG product application.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The system operator then takes over</w:t>
      </w:r>
      <w:r>
        <w:t xml:space="preserve"> </w:t>
      </w:r>
      <w:r>
        <w:t xml:space="preserve">until the application is either</w:t>
      </w:r>
      <w:r>
        <w:t xml:space="preserve"> </w:t>
      </w:r>
      <w:r>
        <w:rPr>
          <w:rStyle w:val="VerbatimChar"/>
        </w:rPr>
        <w:t xml:space="preserve">prequalified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If it</w:t>
      </w:r>
      <w:r>
        <w:t xml:space="preserve"> </w:t>
      </w:r>
      <w:r>
        <w:t xml:space="preserve">rejected, the service provider can make updates and propose the application</w:t>
      </w:r>
      <w:r>
        <w:t xml:space="preserve"> </w:t>
      </w:r>
      <w:r>
        <w:t xml:space="preserve">again.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1"/>
        <w:gridCol w:w="1288"/>
        <w:gridCol w:w="3050"/>
        <w:gridCol w:w="12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prequalification_pending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product application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prequalified.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verified.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6475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SPGPA-VAL001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SPGPA-VAL002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system operator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SPGPA-VAL003</w:t>
            </w:r>
          </w:p>
        </w:tc>
        <w:tc>
          <w:tcPr/>
          <w:p>
            <w:pPr>
              <w:pStyle w:val="Compact"/>
            </w:pPr>
            <w:r>
              <w:t xml:space="preserve">The SP opening the product application must be qualified for all the product types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SPGPA-VAL004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SPGPA-VAL005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then both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SPGPA-COM001</w:t>
            </w:r>
          </w:p>
        </w:tc>
        <w:tc>
          <w:tcPr/>
          <w:p>
            <w:pPr>
              <w:pStyle w:val="Compact"/>
            </w:pPr>
            <w:r>
              <w:t xml:space="preserve">Read history on SPGPA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6"/>
    <w:bookmarkStart w:id="37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7"/>
    <w:bookmarkStart w:id="38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SPGPA.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6"/>
        <w:gridCol w:w="6051"/>
        <w:gridCol w:w="7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SPGPA-SO001</w:t>
            </w:r>
          </w:p>
        </w:tc>
        <w:tc>
          <w:tcPr/>
          <w:p>
            <w:pPr>
              <w:pStyle w:val="Compact"/>
            </w:pPr>
            <w:r>
              <w:t xml:space="preserve">Read SPGPA for SPGs that have at least one SPGPA targeting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SPGPA-SO002</w:t>
            </w:r>
          </w:p>
        </w:tc>
        <w:tc>
          <w:tcPr/>
          <w:p>
            <w:pPr>
              <w:pStyle w:val="Compact"/>
            </w:pPr>
            <w:r>
              <w:t xml:space="preserve">Update SPGPA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6240"/>
        <w:gridCol w:w="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SPGPA-SP001</w:t>
            </w:r>
          </w:p>
        </w:tc>
        <w:tc>
          <w:tcPr/>
          <w:p>
            <w:pPr>
              <w:pStyle w:val="Compact"/>
            </w:pPr>
            <w:r>
              <w:t xml:space="preserve">Create and read SPGPA for SPG they are in charge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SPGPA-SP002</w:t>
            </w:r>
          </w:p>
        </w:tc>
        <w:tc>
          <w:tcPr/>
          <w:p>
            <w:pPr>
              <w:pStyle w:val="Compact"/>
            </w:pPr>
            <w:r>
              <w:t xml:space="preserve">Update SPGPA for SPG they are in charge for, when the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433"/>
        <w:gridCol w:w="542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5" Target="../technical/auth/authn-model.md#party-market-actors" TargetMode="External" /><Relationship Type="http://schemas.openxmlformats.org/officeDocument/2006/relationships/hyperlink" Id="rId33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5" Target="../technical/auth/authn-model.md#party-market-actors" TargetMode="External" /><Relationship Type="http://schemas.openxmlformats.org/officeDocument/2006/relationships/hyperlink" Id="rId33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2026-01-26T08:28:31Z</dcterms:created>
  <dcterms:modified xsi:type="dcterms:W3CDTF">2026-01-26T08:28:31Z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