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kobling"/>
          </w:rPr>
          <w:t xml:space="preserve">Download docx</w:t>
        </w:r>
      </w:hyperlink>
    </w:p>
    <w:bookmarkEnd w:id="28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739"/>
        <w:gridCol w:w="2952"/>
        <w:gridCol w:w="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controllable unit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CU-VAL004</w:t>
            </w:r>
          </w:p>
        </w:tc>
        <w:tc>
          <w:tcPr/>
          <w:p>
            <w:pPr>
              <w:pStyle w:val="Compact"/>
            </w:pPr>
            <w:r>
              <w:t xml:space="preserve">The controllable unit must have at least one technical resource for its status to be set to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6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pi/v0/index.html#/operations/list_controllable_unit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3" Target="../diagrams/controllable_unit_status.plantuml" TargetMode="External" /><Relationship Type="http://schemas.openxmlformats.org/officeDocument/2006/relationships/hyperlink" Id="rId22" Target="../diagrams/controllable_unit_status.png" TargetMode="External" /><Relationship Type="http://schemas.openxmlformats.org/officeDocument/2006/relationships/hyperlink" Id="rId27" Target="../download/controllable_unit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29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2026-04-16T07:00:31Z</dcterms:created>
  <dcterms:modified xsi:type="dcterms:W3CDTF">2026-04-16T07:00:31Z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