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VERONICA MARK</w:t>
      </w:r>
    </w:p>
    <w:p>
      <w:pPr>
        <w:pStyle w:val="Heading2"/>
      </w:pPr>
      <w:r>
        <w:t>Database &amp; Prisma Schema Specification</w:t>
      </w:r>
    </w:p>
    <w:p>
      <w:pPr>
        <w:pStyle w:val="Heading2"/>
      </w:pPr>
      <w:r>
        <w:t>Volume IV — Administration &amp; Analytics</w:t>
      </w:r>
    </w:p>
    <w:p>
      <w:r>
        <w:t>Version 1.0</w:t>
      </w:r>
    </w:p>
    <w:p>
      <w:pPr>
        <w:pStyle w:val="Heading2"/>
      </w:pPr>
      <w:r>
        <w:t>Overview</w:t>
      </w:r>
    </w:p>
    <w:p>
      <w:r>
        <w:rPr>
          <w:sz w:val="22"/>
        </w:rPr>
        <w:t>This volume defines the administration, governance, analytics, monitoring and operational components for the VERONICA MARK platform. It covers Super Admin capabilities, Brand Manager administration, auditability, localization, CMS, reporting and system configuration.</w:t>
      </w:r>
    </w:p>
    <w:p>
      <w:pPr>
        <w:pStyle w:val="Heading2"/>
      </w:pPr>
      <w:r>
        <w:t>Administration Architecture</w:t>
      </w:r>
    </w:p>
    <w:p>
      <w:r>
        <w:rPr>
          <w:sz w:val="22"/>
        </w:rPr>
        <w:t>Separate dashboards are provided for Super Admin and Brand Managers. Super Admin has unrestricted access. Brand Managers are restricted to their assigned brands using RBAC.</w:t>
      </w:r>
    </w:p>
    <w:p>
      <w:pPr>
        <w:pStyle w:val="Heading2"/>
      </w:pPr>
      <w:r>
        <w:t>Super Admin</w:t>
      </w:r>
    </w:p>
    <w:p>
      <w:r>
        <w:rPr>
          <w:sz w:val="22"/>
        </w:rPr>
        <w:t>Core modules: Dashboard, User Management, Brand Management, Product Oversight, Orders, Inventory, Promotions, Taxes, Shipping, Reports, Support, Email Templates, Push Notifications, Audit Logs and Global Settings.</w:t>
      </w:r>
    </w:p>
    <w:p>
      <w:pPr>
        <w:pStyle w:val="Heading2"/>
      </w:pPr>
      <w:r>
        <w:t>Brand Manager</w:t>
      </w:r>
    </w:p>
    <w:p>
      <w:r>
        <w:rPr>
          <w:sz w:val="22"/>
        </w:rPr>
        <w:t>Brand Managers manage only their own catalog, inventory, campaigns, reports, coupons, media assets and customer interactions. All actions are logged.</w:t>
      </w:r>
    </w:p>
    <w:p>
      <w:pPr>
        <w:pStyle w:val="Heading2"/>
      </w:pPr>
      <w:r>
        <w:t>Analytics</w:t>
      </w:r>
    </w:p>
    <w:p>
      <w:r>
        <w:rPr>
          <w:sz w:val="22"/>
        </w:rPr>
        <w:t>Analytics tables capture product performance, sales, traffic, conversion rates, abandoned carts, customer acquisition, repeat purchases and revenue by brand, category and country.</w:t>
      </w:r>
    </w:p>
    <w:p>
      <w:pPr>
        <w:pStyle w:val="Heading2"/>
      </w:pPr>
      <w:r>
        <w:t>Reporting</w:t>
      </w:r>
    </w:p>
    <w:p>
      <w:r>
        <w:rPr>
          <w:sz w:val="22"/>
        </w:rPr>
        <w:t>Generate daily, weekly, monthly and annual reports. Export formats include CSV, Excel and PDF. Reports include sales, inventory, finance, customer, marketing and operational KPIs.</w:t>
      </w:r>
    </w:p>
    <w:p>
      <w:pPr>
        <w:pStyle w:val="Heading2"/>
      </w:pPr>
      <w:r>
        <w:t>Audit Logs</w:t>
      </w:r>
    </w:p>
    <w:p>
      <w:r>
        <w:rPr>
          <w:sz w:val="22"/>
        </w:rPr>
        <w:t>AuditLog stores actor, action, resource, recordId, previous values, new values, IP address, user agent, timestamp and outcome. Audit records are immutable.</w:t>
      </w:r>
    </w:p>
    <w:p>
      <w:pPr>
        <w:pStyle w:val="Heading2"/>
      </w:pPr>
      <w:r>
        <w:t>CMS</w:t>
      </w:r>
    </w:p>
    <w:p>
      <w:r>
        <w:rPr>
          <w:sz w:val="22"/>
        </w:rPr>
        <w:t>CMSPage, CMSSection and MediaAsset tables power homepage banners, landing pages, FAQs, policies, blog content and promotional pages without code deployments.</w:t>
      </w:r>
    </w:p>
    <w:p>
      <w:pPr>
        <w:pStyle w:val="Heading2"/>
      </w:pPr>
      <w:r>
        <w:t>Email &amp; Notifications</w:t>
      </w:r>
    </w:p>
    <w:p>
      <w:r>
        <w:rPr>
          <w:sz w:val="22"/>
        </w:rPr>
        <w:t>NotificationTemplate and EmailTemplate store reusable templates with localization support. Templates are versioned and support preview and rollback.</w:t>
      </w:r>
    </w:p>
    <w:p>
      <w:pPr>
        <w:pStyle w:val="Heading2"/>
      </w:pPr>
      <w:r>
        <w:t>Localization</w:t>
      </w:r>
    </w:p>
    <w:p>
      <w:r>
        <w:rPr>
          <w:sz w:val="22"/>
        </w:rPr>
        <w:t>Localization tables manage supported languages, currencies, translations and regional settings. Content is translatable without duplicating business entities.</w:t>
      </w:r>
    </w:p>
    <w:p>
      <w:pPr>
        <w:pStyle w:val="Heading2"/>
      </w:pPr>
      <w:r>
        <w:t>Feature Flags</w:t>
      </w:r>
    </w:p>
    <w:p>
      <w:r>
        <w:rPr>
          <w:sz w:val="22"/>
        </w:rPr>
        <w:t>FeatureFlag enables staged rollouts, A/B testing and regional feature control. Supports percentage rollouts and environment-specific activation.</w:t>
      </w:r>
    </w:p>
    <w:p>
      <w:pPr>
        <w:pStyle w:val="Heading2"/>
      </w:pPr>
      <w:r>
        <w:t>System Settings</w:t>
      </w:r>
    </w:p>
    <w:p>
      <w:r>
        <w:rPr>
          <w:sz w:val="22"/>
        </w:rPr>
        <w:t>Global configuration includes payment gateways, shipping providers, tax defaults, maintenance mode, security policies, SEO defaults and application branding.</w:t>
      </w:r>
    </w:p>
    <w:p>
      <w:pPr>
        <w:pStyle w:val="Heading2"/>
      </w:pPr>
      <w:r>
        <w:t>Monitoring</w:t>
      </w:r>
    </w:p>
    <w:p>
      <w:r>
        <w:rPr>
          <w:sz w:val="22"/>
        </w:rPr>
        <w:t>Store application events, background job status, webhook deliveries, API usage, scheduled task history and system health metrics for operational visibility.</w:t>
      </w:r>
    </w:p>
    <w:p>
      <w:pPr>
        <w:pStyle w:val="Heading2"/>
      </w:pPr>
      <w:r>
        <w:t>Indexes</w:t>
      </w:r>
    </w:p>
    <w:p>
      <w:r>
        <w:rPr>
          <w:sz w:val="22"/>
        </w:rPr>
        <w:t>Recommended indexes: brandId, createdAt, action, resourceType, languageCode, featureKey, reportType. Composite indexes: (brandId,createdAt), (resourceType,recordId), (action,createdAt).</w:t>
      </w:r>
    </w:p>
    <w:p>
      <w:pPr>
        <w:pStyle w:val="Heading2"/>
      </w:pPr>
      <w:r>
        <w:t>Acceptance Criteria</w:t>
      </w:r>
    </w:p>
    <w:p>
      <w:r>
        <w:rPr>
          <w:sz w:val="22"/>
        </w:rPr>
        <w:t>Administration supports secure RBAC, comprehensive audit trails, configurable CMS, localized content, analytics dashboards, operational reporting, feature flags and centralized system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