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VERONICA MARK</w:t>
      </w:r>
    </w:p>
    <w:p>
      <w:pPr>
        <w:pStyle w:val="Heading2"/>
      </w:pPr>
      <w:r>
        <w:t>Brand Guidelines — Volume II</w:t>
      </w:r>
    </w:p>
    <w:p>
      <w:pPr>
        <w:pStyle w:val="Heading3"/>
      </w:pPr>
      <w:r>
        <w:t>Visual Identity System</w:t>
      </w:r>
    </w:p>
    <w:p>
      <w:pPr>
        <w:pStyle w:val="Heading2"/>
      </w:pPr>
      <w:r>
        <w:t>Logo System</w:t>
      </w:r>
    </w:p>
    <w:p>
      <w:r>
        <w:rPr>
          <w:sz w:val="22"/>
        </w:rPr>
        <w:t>Primary Logo</w:t>
        <w:br/>
        <w:t>• Custom VM Monogram + VERONICA MARK wordmark</w:t>
        <w:br/>
        <w:t>• Primary usage on website, packaging, documents and marketing.</w:t>
        <w:br/>
        <w:br/>
        <w:t>Secondary Logo</w:t>
        <w:br/>
        <w:t>• Wordmark only for narrow spaces and editorial layouts.</w:t>
        <w:br/>
        <w:br/>
        <w:t>Icon-only Logo</w:t>
        <w:br/>
        <w:t>• VM monogram for app icon, favicon, authentication seal, social avatars and embossing.</w:t>
        <w:br/>
        <w:br/>
        <w:t>Minimum clear space: equal to the width of the 'V' stem.</w:t>
        <w:br/>
        <w:t>Minimum digital size: 24px icon, 120px full logo.</w:t>
      </w:r>
    </w:p>
    <w:p>
      <w:pPr>
        <w:pStyle w:val="Heading2"/>
      </w:pPr>
      <w:r>
        <w:t>Official Brand Colors</w:t>
      </w:r>
    </w:p>
    <w:p>
      <w:r>
        <w:rPr>
          <w:sz w:val="22"/>
        </w:rPr>
        <w:t>Royal Purple</w:t>
        <w:br/>
        <w:t>HEX: #4B246A</w:t>
        <w:br/>
        <w:br/>
        <w:t>Luxury Cream</w:t>
        <w:br/>
        <w:t>HEX: #F8F4EC</w:t>
        <w:br/>
        <w:br/>
        <w:t>Charcoal Black</w:t>
        <w:br/>
        <w:t>HEX: #1A1A1A</w:t>
        <w:br/>
        <w:br/>
        <w:t>Champagne Gold</w:t>
        <w:br/>
        <w:t>HEX: #C7A25A</w:t>
        <w:br/>
        <w:br/>
        <w:t>Use these values consistently across all digital and print materials.</w:t>
      </w:r>
    </w:p>
    <w:p>
      <w:pPr>
        <w:pStyle w:val="Heading2"/>
      </w:pPr>
      <w:r>
        <w:t>Color Usage</w:t>
      </w:r>
    </w:p>
    <w:p>
      <w:r>
        <w:rPr>
          <w:sz w:val="22"/>
        </w:rPr>
        <w:t>65% Luxury Cream</w:t>
        <w:br/>
        <w:t>25% Royal Purple</w:t>
        <w:br/>
        <w:t>10% Charcoal Black and Champagne Gold accents</w:t>
        <w:br/>
        <w:br/>
        <w:t>Purple is the signature brand color.</w:t>
        <w:br/>
        <w:t>Gold is reserved for premium highlights and luxury finishes.</w:t>
      </w:r>
    </w:p>
    <w:p>
      <w:pPr>
        <w:pStyle w:val="Heading2"/>
      </w:pPr>
      <w:r>
        <w:t>Typography</w:t>
      </w:r>
    </w:p>
    <w:p>
      <w:r>
        <w:rPr>
          <w:sz w:val="22"/>
        </w:rPr>
        <w:t>Primary Display: Playfair Display</w:t>
        <w:br/>
        <w:t>Primary UI: Inter</w:t>
        <w:br/>
        <w:t>Supporting Typeface: Manrope</w:t>
        <w:br/>
        <w:br/>
        <w:t>Headings should use elegant spacing and restrained weight.</w:t>
        <w:br/>
        <w:t>Body text should prioritize readability.</w:t>
      </w:r>
    </w:p>
    <w:p>
      <w:pPr>
        <w:pStyle w:val="Heading2"/>
      </w:pPr>
      <w:r>
        <w:t>Logo Usage Rules</w:t>
      </w:r>
    </w:p>
    <w:p>
      <w:r>
        <w:rPr>
          <w:sz w:val="22"/>
        </w:rPr>
        <w:t>Always preserve proportions.</w:t>
        <w:br/>
        <w:t>Never stretch, rotate or distort.</w:t>
        <w:br/>
        <w:t>Never change official colors.</w:t>
        <w:br/>
        <w:t>Never place on busy backgrounds without sufficient contrast.</w:t>
        <w:br/>
        <w:t>Prefer cream or white space around the logo.</w:t>
      </w:r>
    </w:p>
    <w:p>
      <w:pPr>
        <w:pStyle w:val="Heading2"/>
      </w:pPr>
      <w:r>
        <w:t>Monogram Usage</w:t>
      </w:r>
    </w:p>
    <w:p>
      <w:r>
        <w:rPr>
          <w:sz w:val="22"/>
        </w:rPr>
        <w:t>The VM monogram is the universal recognition symbol for VERONICA MARK.</w:t>
        <w:br/>
        <w:br/>
        <w:t>Approved uses:</w:t>
        <w:br/>
        <w:t>• Mobile App Icon</w:t>
        <w:br/>
        <w:t>• Website Favicon</w:t>
        <w:br/>
        <w:t>• Social Media Avatar</w:t>
        <w:br/>
        <w:t>• Product Authentication Seal</w:t>
        <w:br/>
        <w:t>• Packaging Foil Stamp</w:t>
        <w:br/>
        <w:t>• Loyalty Cards</w:t>
        <w:br/>
        <w:t>• Gift Boxes</w:t>
        <w:br/>
        <w:t>• Watermarks</w:t>
      </w:r>
    </w:p>
    <w:p>
      <w:pPr>
        <w:pStyle w:val="Heading2"/>
      </w:pPr>
      <w:r>
        <w:t>Brand Pattern</w:t>
      </w:r>
    </w:p>
    <w:p>
      <w:r>
        <w:rPr>
          <w:sz w:val="22"/>
        </w:rPr>
        <w:t>Develop a repeating pattern derived from the VM monogram.</w:t>
        <w:br/>
        <w:br/>
        <w:t>Applications:</w:t>
        <w:br/>
        <w:t>• Tissue paper</w:t>
        <w:br/>
        <w:t>• Shopping bags</w:t>
        <w:br/>
        <w:t>• Gift boxes</w:t>
        <w:br/>
        <w:t>• Website backgrounds</w:t>
        <w:br/>
        <w:t>• Premium stationery</w:t>
        <w:br/>
        <w:t>• Packaging interiors</w:t>
      </w:r>
    </w:p>
    <w:p>
      <w:pPr>
        <w:pStyle w:val="Heading2"/>
      </w:pPr>
      <w:r>
        <w:t>Photography Style</w:t>
      </w:r>
    </w:p>
    <w:p>
      <w:r>
        <w:rPr>
          <w:sz w:val="22"/>
        </w:rPr>
        <w:t>Luxury editorial style.</w:t>
        <w:br/>
        <w:t>Soft natural lighting.</w:t>
        <w:br/>
        <w:t>Minimal backgrounds.</w:t>
        <w:br/>
        <w:t>Neutral colour palette.</w:t>
        <w:br/>
        <w:t>High-resolution imagery.</w:t>
        <w:br/>
        <w:t>Focus on craftsmanship and product detail.</w:t>
      </w:r>
    </w:p>
    <w:p>
      <w:pPr>
        <w:pStyle w:val="Heading2"/>
      </w:pPr>
      <w:r>
        <w:t>Iconography</w:t>
      </w:r>
    </w:p>
    <w:p>
      <w:r>
        <w:rPr>
          <w:sz w:val="22"/>
        </w:rPr>
        <w:t>Use a consistent outline icon family.</w:t>
        <w:br/>
        <w:t>Rounded corners.</w:t>
        <w:br/>
        <w:t>Minimal styling.</w:t>
        <w:br/>
        <w:t>24px base grid.</w:t>
        <w:br/>
        <w:t>Consistent stroke width throughout the interface.</w:t>
      </w:r>
    </w:p>
    <w:p>
      <w:pPr>
        <w:pStyle w:val="Heading2"/>
      </w:pPr>
      <w:r>
        <w:t>Motion Principles</w:t>
      </w:r>
    </w:p>
    <w:p>
      <w:r>
        <w:rPr>
          <w:sz w:val="22"/>
        </w:rPr>
        <w:t>Elegant and restrained.</w:t>
        <w:br/>
        <w:t>Soft fades.</w:t>
        <w:br/>
        <w:t>Smooth page transitions.</w:t>
        <w:br/>
        <w:t>Subtle hover animations.</w:t>
        <w:br/>
        <w:t>No excessive motion or distracting effects.</w:t>
      </w:r>
    </w:p>
    <w:p>
      <w:pPr>
        <w:pStyle w:val="Heading2"/>
      </w:pPr>
      <w:r>
        <w:t>Accessibility</w:t>
      </w:r>
    </w:p>
    <w:p>
      <w:r>
        <w:rPr>
          <w:sz w:val="22"/>
        </w:rPr>
        <w:t>Maintain WCAG 2.2 AA contrast.</w:t>
        <w:br/>
        <w:t>Ensure logo remains legible in dark and light themes.</w:t>
        <w:br/>
        <w:t>Provide monochrome versions where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