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VERONICA MARK</w:t>
      </w:r>
    </w:p>
    <w:p>
      <w:pPr>
        <w:pStyle w:val="Heading2"/>
      </w:pPr>
      <w:r>
        <w:t>Brand Guidelines — Volume IV</w:t>
      </w:r>
    </w:p>
    <w:p>
      <w:pPr>
        <w:pStyle w:val="Heading3"/>
      </w:pPr>
      <w:r>
        <w:t>Brand Applications</w:t>
      </w:r>
    </w:p>
    <w:p>
      <w:pPr>
        <w:pStyle w:val="Heading2"/>
      </w:pPr>
      <w:r>
        <w:t>Introduction</w:t>
      </w:r>
    </w:p>
    <w:p>
      <w:r>
        <w:rPr>
          <w:sz w:val="22"/>
        </w:rPr>
        <w:t>This volume defines how the VERONICA MARK identity is consistently applied across physical products, printed materials and digital touchpoints.</w:t>
      </w:r>
    </w:p>
    <w:p>
      <w:pPr>
        <w:pStyle w:val="Heading2"/>
      </w:pPr>
      <w:r>
        <w:t>Packaging System</w:t>
      </w:r>
    </w:p>
    <w:p>
      <w:r>
        <w:rPr>
          <w:sz w:val="22"/>
        </w:rPr>
        <w:t>Luxury rigid gift box, premium shopping bag, cream tissue paper with VM pattern, champagne gold foil seal, thank-you card, authenticity certificate, gift ribbon and branded shipping carton.</w:t>
      </w:r>
    </w:p>
    <w:p>
      <w:pPr>
        <w:pStyle w:val="Heading2"/>
      </w:pPr>
      <w:r>
        <w:t>Stationery</w:t>
      </w:r>
    </w:p>
    <w:p>
      <w:r>
        <w:rPr>
          <w:sz w:val="22"/>
        </w:rPr>
        <w:t>Business cards, letterheads, envelopes, invoices, receipts, quotation templates, presentation folders and email signatures using the official logo, colors and typography.</w:t>
      </w:r>
    </w:p>
    <w:p>
      <w:pPr>
        <w:pStyle w:val="Heading2"/>
      </w:pPr>
      <w:r>
        <w:t>Retail &amp; Delivery</w:t>
      </w:r>
    </w:p>
    <w:p>
      <w:r>
        <w:rPr>
          <w:sz w:val="22"/>
        </w:rPr>
        <w:t>Delivery vehicle branding, courier uniforms, staff ID cards, exhibition booths, retail signage, pull-up banners and window graphics.</w:t>
      </w:r>
    </w:p>
    <w:p>
      <w:pPr>
        <w:pStyle w:val="Heading2"/>
      </w:pPr>
      <w:r>
        <w:t>Product Branding</w:t>
      </w:r>
    </w:p>
    <w:p>
      <w:r>
        <w:rPr>
          <w:sz w:val="22"/>
        </w:rPr>
        <w:t>Perfume labels, bottle boxes, hang tags, warranty/authenticity cards, QR authentication labels and care cards.</w:t>
      </w:r>
    </w:p>
    <w:p>
      <w:pPr>
        <w:pStyle w:val="Heading2"/>
      </w:pPr>
      <w:r>
        <w:t>Corporate Identity</w:t>
      </w:r>
    </w:p>
    <w:p>
      <w:r>
        <w:rPr>
          <w:sz w:val="22"/>
        </w:rPr>
        <w:t>Company profile, investor presentation, press kit, media kit and official document templates.</w:t>
      </w:r>
    </w:p>
    <w:p>
      <w:pPr>
        <w:pStyle w:val="Heading2"/>
      </w:pPr>
      <w:r>
        <w:t>Digital Applications</w:t>
      </w:r>
    </w:p>
    <w:p>
      <w:r>
        <w:rPr>
          <w:sz w:val="22"/>
        </w:rPr>
        <w:t>Website favicon, app icon, loading screen, splash screen, social avatars, email templates, web banners and digital advertisements.</w:t>
      </w:r>
    </w:p>
    <w:p>
      <w:pPr>
        <w:pStyle w:val="Heading2"/>
      </w:pPr>
      <w:r>
        <w:t>Social Media</w:t>
      </w:r>
    </w:p>
    <w:p>
      <w:r>
        <w:rPr>
          <w:sz w:val="22"/>
        </w:rPr>
        <w:t>Profile images, cover banners, Instagram templates, Facebook creatives, LinkedIn banners, Pinterest pins, story templates and campaign layouts.</w:t>
      </w:r>
    </w:p>
    <w:p>
      <w:pPr>
        <w:pStyle w:val="Heading2"/>
      </w:pPr>
      <w:r>
        <w:t>Photography &amp; Mockups</w:t>
      </w:r>
    </w:p>
    <w:p>
      <w:r>
        <w:rPr>
          <w:sz w:val="22"/>
        </w:rPr>
        <w:t>Use premium lifestyle mockups, minimal backgrounds, consistent lighting and luxury presentation for every branded application.</w:t>
      </w:r>
    </w:p>
    <w:p>
      <w:pPr>
        <w:pStyle w:val="Heading2"/>
      </w:pPr>
      <w:r>
        <w:t>Production Standards</w:t>
      </w:r>
    </w:p>
    <w:p>
      <w:r>
        <w:rPr>
          <w:sz w:val="22"/>
        </w:rPr>
        <w:t>Use vector artwork (SVG, AI, EPS) for print. CMYK for print, RGB for digital. Minimum print resolution 300 DPI. Protect clear space and never alter logo proportions or brand colors.</w:t>
      </w:r>
    </w:p>
    <w:p>
      <w:pPr>
        <w:pStyle w:val="Heading2"/>
      </w:pPr>
      <w:r>
        <w:t>Quality Control</w:t>
      </w:r>
    </w:p>
    <w:p>
      <w:r>
        <w:rPr>
          <w:sz w:val="22"/>
        </w:rPr>
        <w:t>Every external asset must be reviewed against the official brand colors (#4B246A, #F8F4EC, #1A1A1A, #C7A25A), typography, spacing and logo usage rules before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