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AD2C83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756D10F6" w14:textId="77777777" w:rsidR="006B44EF" w:rsidRPr="00D13AA2" w:rsidRDefault="006B44EF" w:rsidP="00D13AA2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D13AA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16.33</w:t>
            </w:r>
          </w:p>
          <w:p w14:paraId="4D81F3DD" w14:textId="77777777" w:rsidR="00C0354A" w:rsidRPr="00D13AA2" w:rsidRDefault="00C0354A" w:rsidP="00D13AA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71" w:type="dxa"/>
          </w:tcPr>
          <w:p w14:paraId="213C81CC" w14:textId="77777777" w:rsidR="006B44EF" w:rsidRPr="00D13AA2" w:rsidRDefault="006B44EF" w:rsidP="00D13AA2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D13AA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4.22</w:t>
            </w:r>
          </w:p>
          <w:p w14:paraId="0D755156" w14:textId="77777777" w:rsidR="00C0354A" w:rsidRPr="00D13AA2" w:rsidRDefault="00C0354A" w:rsidP="00D13AA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71" w:type="dxa"/>
          </w:tcPr>
          <w:p w14:paraId="68BE00DE" w14:textId="675F4ADC" w:rsidR="006B44EF" w:rsidRPr="00D13AA2" w:rsidRDefault="006B44EF" w:rsidP="00D13AA2">
            <w:pPr>
              <w:jc w:val="center"/>
              <w:rPr>
                <w:rFonts w:asciiTheme="majorHAnsi" w:hAnsiTheme="majorHAnsi" w:cstheme="majorHAnsi"/>
              </w:rPr>
            </w:pPr>
            <w:r w:rsidRPr="00D13AA2">
              <w:rPr>
                <w:rFonts w:asciiTheme="majorHAnsi" w:hAnsiTheme="majorHAnsi" w:cstheme="majorHAnsi"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474C2DB0" w14:textId="77777777" w:rsidR="006B44EF" w:rsidRPr="00D13AA2" w:rsidRDefault="006B44EF" w:rsidP="00D13AA2">
            <w:pPr>
              <w:pStyle w:val="HTMLPreformatted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D13AA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15.29</w:t>
            </w:r>
          </w:p>
          <w:p w14:paraId="2E1467E5" w14:textId="77777777" w:rsidR="00C0354A" w:rsidRPr="00D13AA2" w:rsidRDefault="00C0354A" w:rsidP="00D13AA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71" w:type="dxa"/>
          </w:tcPr>
          <w:p w14:paraId="5FE297E7" w14:textId="304B6BAE" w:rsidR="00C0354A" w:rsidRPr="00D13AA2" w:rsidRDefault="006B44EF" w:rsidP="00D13AA2">
            <w:pPr>
              <w:jc w:val="center"/>
              <w:rPr>
                <w:rFonts w:asciiTheme="majorHAnsi" w:hAnsiTheme="majorHAnsi" w:cstheme="majorHAnsi"/>
              </w:rPr>
            </w:pPr>
            <w:r w:rsidRPr="00D13AA2"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1771" w:type="dxa"/>
          </w:tcPr>
          <w:p w14:paraId="12EA5F59" w14:textId="2AA2E269" w:rsidR="00C0354A" w:rsidRPr="00D13AA2" w:rsidRDefault="006B44EF" w:rsidP="00D13AA2">
            <w:pPr>
              <w:jc w:val="center"/>
              <w:rPr>
                <w:rFonts w:asciiTheme="majorHAnsi" w:hAnsiTheme="majorHAnsi" w:cstheme="majorHAnsi"/>
              </w:rPr>
            </w:pPr>
            <w:r w:rsidRPr="00D13AA2">
              <w:rPr>
                <w:rFonts w:asciiTheme="majorHAnsi" w:hAnsiTheme="majorHAnsi" w:cstheme="majorHAnsi"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40DF1CE5" w:rsidR="00C0354A" w:rsidRPr="00D13AA2" w:rsidRDefault="006B44EF" w:rsidP="00D13AA2">
            <w:pPr>
              <w:jc w:val="center"/>
              <w:rPr>
                <w:rFonts w:asciiTheme="majorHAnsi" w:hAnsiTheme="majorHAnsi" w:cstheme="majorHAnsi"/>
              </w:rPr>
            </w:pPr>
            <w:r w:rsidRPr="00D13AA2">
              <w:rPr>
                <w:rFonts w:asciiTheme="majorHAnsi" w:hAnsiTheme="majorHAnsi" w:cstheme="majorHAnsi"/>
              </w:rPr>
              <w:t>17.78</w:t>
            </w:r>
          </w:p>
        </w:tc>
        <w:tc>
          <w:tcPr>
            <w:tcW w:w="1771" w:type="dxa"/>
          </w:tcPr>
          <w:p w14:paraId="7A08F2E3" w14:textId="7ABCE28D" w:rsidR="00C0354A" w:rsidRPr="00D13AA2" w:rsidRDefault="006B44EF" w:rsidP="00D13AA2">
            <w:pPr>
              <w:jc w:val="center"/>
              <w:rPr>
                <w:rFonts w:asciiTheme="majorHAnsi" w:hAnsiTheme="majorHAnsi" w:cstheme="majorHAnsi"/>
              </w:rPr>
            </w:pPr>
            <w:r w:rsidRPr="00D13AA2">
              <w:rPr>
                <w:rFonts w:asciiTheme="majorHAnsi" w:hAnsiTheme="majorHAnsi" w:cstheme="majorHAnsi"/>
              </w:rPr>
              <w:t>4.11</w:t>
            </w:r>
          </w:p>
        </w:tc>
        <w:tc>
          <w:tcPr>
            <w:tcW w:w="1771" w:type="dxa"/>
          </w:tcPr>
          <w:p w14:paraId="445AD724" w14:textId="748584CF" w:rsidR="00C0354A" w:rsidRPr="00D13AA2" w:rsidRDefault="006B44EF" w:rsidP="00D13AA2">
            <w:pPr>
              <w:jc w:val="center"/>
              <w:rPr>
                <w:rFonts w:asciiTheme="majorHAnsi" w:hAnsiTheme="majorHAnsi" w:cstheme="majorHAnsi"/>
              </w:rPr>
            </w:pPr>
            <w:r w:rsidRPr="00D13AA2">
              <w:rPr>
                <w:rFonts w:asciiTheme="majorHAnsi" w:hAnsiTheme="majorHAnsi" w:cstheme="majorHAnsi"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4144DEA7" w:rsidR="00622DF1" w:rsidRDefault="00622DF1" w:rsidP="00EA42DC">
      <w:pPr>
        <w:jc w:val="both"/>
      </w:pPr>
    </w:p>
    <w:p w14:paraId="28B64037" w14:textId="77777777" w:rsidR="006B44EF" w:rsidRPr="006B44EF" w:rsidRDefault="006B44EF" w:rsidP="006B44EF">
      <w:pPr>
        <w:rPr>
          <w:rFonts w:ascii="Times New Roman" w:eastAsia="Times New Roman" w:hAnsi="Times New Roman" w:cs="Times New Roman"/>
        </w:rPr>
      </w:pPr>
      <w:r w:rsidRPr="006B44EF">
        <w:rPr>
          <w:rFonts w:ascii="Times New Roman" w:eastAsia="Times New Roman" w:hAnsi="Times New Roman" w:cs="Times New Roman"/>
        </w:rPr>
        <w:t>The 5 steps for hypothesis testing are:</w:t>
      </w:r>
    </w:p>
    <w:p w14:paraId="72CA4D40" w14:textId="5C56F671" w:rsidR="006B44EF" w:rsidRPr="006B44EF" w:rsidRDefault="00B72559" w:rsidP="006B44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choose </w:t>
      </w:r>
      <w:r w:rsidR="003B34D9" w:rsidRPr="006B44EF">
        <w:rPr>
          <w:rFonts w:ascii="Times New Roman" w:eastAsia="Times New Roman" w:hAnsi="Times New Roman" w:cs="Times New Roman"/>
        </w:rPr>
        <w:t>α</w:t>
      </w:r>
      <w:r w:rsidR="003B34D9">
        <w:rPr>
          <w:rFonts w:ascii="Times New Roman" w:eastAsia="Times New Roman" w:hAnsi="Times New Roman" w:cs="Times New Roman"/>
        </w:rPr>
        <w:t>=.05 (95% confidence level)</w:t>
      </w:r>
    </w:p>
    <w:p w14:paraId="56029732" w14:textId="436A417A" w:rsidR="006B44EF" w:rsidRPr="003B34D9" w:rsidRDefault="003B34D9" w:rsidP="006B44EF">
      <w:pPr>
        <w:numPr>
          <w:ilvl w:val="0"/>
          <w:numId w:val="3"/>
        </w:numPr>
        <w:spacing w:beforeAutospacing="1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Our n</w:t>
      </w:r>
      <w:r w:rsidR="006B44EF" w:rsidRPr="006B44EF">
        <w:rPr>
          <w:rFonts w:ascii="Times New Roman" w:eastAsia="Times New Roman" w:hAnsi="Times New Roman" w:cs="Times New Roman"/>
        </w:rPr>
        <w:t>ull hypothesis </w:t>
      </w:r>
      <w:r w:rsidR="006B44EF" w:rsidRPr="006B44EF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</w:rPr>
        <w:t>H</w:t>
      </w:r>
      <w:r w:rsidR="006B44EF" w:rsidRPr="006B44EF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</w:rPr>
        <w:t>0</w:t>
      </w:r>
      <w:r w:rsidR="006B44EF" w:rsidRPr="006B44EF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is that the mean SWE of El-Nino or La-Nina years is the </w:t>
      </w:r>
      <w:r w:rsidR="00D13AA2">
        <w:rPr>
          <w:rFonts w:ascii="Times New Roman" w:eastAsia="Times New Roman" w:hAnsi="Times New Roman" w:cs="Times New Roman"/>
        </w:rPr>
        <w:t>greater than or less than</w:t>
      </w:r>
      <w:r>
        <w:rPr>
          <w:rFonts w:ascii="Times New Roman" w:eastAsia="Times New Roman" w:hAnsi="Times New Roman" w:cs="Times New Roman"/>
        </w:rPr>
        <w:t xml:space="preserve"> the mean SWE as a </w:t>
      </w:r>
      <w:r w:rsidR="00CB34DB">
        <w:rPr>
          <w:rFonts w:ascii="Times New Roman" w:eastAsia="Times New Roman" w:hAnsi="Times New Roman" w:cs="Times New Roman"/>
        </w:rPr>
        <w:t>randomly</w:t>
      </w:r>
      <w:r>
        <w:rPr>
          <w:rFonts w:ascii="Times New Roman" w:eastAsia="Times New Roman" w:hAnsi="Times New Roman" w:cs="Times New Roman"/>
        </w:rPr>
        <w:t xml:space="preserve"> selected year</w:t>
      </w:r>
      <w:r w:rsidR="00D13AA2">
        <w:rPr>
          <w:rFonts w:ascii="Times New Roman" w:eastAsia="Times New Roman" w:hAnsi="Times New Roman" w:cs="Times New Roman"/>
        </w:rPr>
        <w:t>, respectively</w:t>
      </w:r>
      <w:r>
        <w:rPr>
          <w:rFonts w:ascii="Times New Roman" w:eastAsia="Times New Roman" w:hAnsi="Times New Roman" w:cs="Times New Roman"/>
        </w:rPr>
        <w:t>. T</w:t>
      </w:r>
      <w:r w:rsidR="006B44EF" w:rsidRPr="006B44EF">
        <w:rPr>
          <w:rFonts w:ascii="Times New Roman" w:eastAsia="Times New Roman" w:hAnsi="Times New Roman" w:cs="Times New Roman"/>
        </w:rPr>
        <w:t>he alternative </w:t>
      </w:r>
      <w:r w:rsidR="006B44EF" w:rsidRPr="006B44EF">
        <w:rPr>
          <w:rFonts w:ascii="STIXMathJax_Main" w:eastAsia="Times New Roman" w:hAnsi="STIXMathJax_Main" w:cs="Times New Roman"/>
          <w:sz w:val="25"/>
          <w:szCs w:val="25"/>
          <w:bdr w:val="none" w:sz="0" w:space="0" w:color="auto" w:frame="1"/>
        </w:rPr>
        <w:t>H</w:t>
      </w:r>
      <w:r w:rsidR="006B44EF" w:rsidRPr="006B44EF"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</w:rPr>
        <w:t>1</w:t>
      </w:r>
      <w:r>
        <w:rPr>
          <w:rFonts w:ascii="STIXMathJax_Main" w:eastAsia="Times New Roman" w:hAnsi="STIXMathJax_Main" w:cs="Times New Roman"/>
          <w:sz w:val="18"/>
          <w:szCs w:val="18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</w:rPr>
        <w:t>is th</w:t>
      </w:r>
      <w:r w:rsidR="00D13AA2">
        <w:rPr>
          <w:rFonts w:ascii="Times New Roman" w:eastAsia="Times New Roman" w:hAnsi="Times New Roman" w:cs="Times New Roman"/>
        </w:rPr>
        <w:t xml:space="preserve">e opposite: That El-Nino SWE is less than mean SWE, and La-Nina SWE is greater than mean SWE. </w:t>
      </w:r>
    </w:p>
    <w:p w14:paraId="3C6F3840" w14:textId="4126CFEA" w:rsidR="006B44EF" w:rsidRPr="006B44EF" w:rsidRDefault="000A369B" w:rsidP="003B34D9">
      <w:pPr>
        <w:numPr>
          <w:ilvl w:val="0"/>
          <w:numId w:val="3"/>
        </w:numPr>
        <w:spacing w:beforeAutospacing="1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choose to use a bootstrap to generate many random samples of the mean </w:t>
      </w:r>
      <w:r w:rsidR="00167FFC">
        <w:rPr>
          <w:rFonts w:ascii="Times New Roman" w:eastAsia="Times New Roman" w:hAnsi="Times New Roman" w:cs="Times New Roman"/>
        </w:rPr>
        <w:t xml:space="preserve">SWE without any regard to El-Nino or La-Nina. </w:t>
      </w:r>
    </w:p>
    <w:p w14:paraId="11CDB5FC" w14:textId="298814A8" w:rsidR="006B44EF" w:rsidRPr="006B44EF" w:rsidRDefault="006B44EF" w:rsidP="006B44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44EF">
        <w:rPr>
          <w:rFonts w:ascii="Times New Roman" w:eastAsia="Times New Roman" w:hAnsi="Times New Roman" w:cs="Times New Roman"/>
        </w:rPr>
        <w:t>State the critical region</w:t>
      </w:r>
      <w:r w:rsidR="003B34D9">
        <w:rPr>
          <w:rFonts w:ascii="Times New Roman" w:eastAsia="Times New Roman" w:hAnsi="Times New Roman" w:cs="Times New Roman"/>
        </w:rPr>
        <w:t>: Z-score &lt;= -1.645</w:t>
      </w:r>
      <w:r w:rsidR="00B466C0">
        <w:rPr>
          <w:rFonts w:ascii="Times New Roman" w:eastAsia="Times New Roman" w:hAnsi="Times New Roman" w:cs="Times New Roman"/>
        </w:rPr>
        <w:t xml:space="preserve">. This is because we are using a one-sided test. </w:t>
      </w:r>
    </w:p>
    <w:p w14:paraId="0A1E846A" w14:textId="272F1FA8" w:rsidR="006B44EF" w:rsidRDefault="00B466C0" w:rsidP="006B44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Our Z-score</w:t>
      </w:r>
      <w:r w:rsidR="003B34D9">
        <w:rPr>
          <w:rFonts w:ascii="Times New Roman" w:eastAsia="Times New Roman" w:hAnsi="Times New Roman" w:cs="Times New Roman"/>
        </w:rPr>
        <w:t xml:space="preserve"> is only -.98 so </w:t>
      </w:r>
      <w:r>
        <w:rPr>
          <w:rFonts w:ascii="Times New Roman" w:eastAsia="Times New Roman" w:hAnsi="Times New Roman" w:cs="Times New Roman"/>
        </w:rPr>
        <w:t>we fail to</w:t>
      </w:r>
      <w:r w:rsidR="003B34D9">
        <w:rPr>
          <w:rFonts w:ascii="Times New Roman" w:eastAsia="Times New Roman" w:hAnsi="Times New Roman" w:cs="Times New Roman"/>
        </w:rPr>
        <w:t xml:space="preserve"> reject null hypothesis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52192BD" w14:textId="0E03C869" w:rsidR="006A6B93" w:rsidRPr="006B44EF" w:rsidRDefault="006A6B93" w:rsidP="00DC2B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648E02" w14:textId="59ED6C89" w:rsidR="006B44EF" w:rsidRDefault="006B44EF" w:rsidP="00EA42DC">
      <w:pPr>
        <w:jc w:val="both"/>
      </w:pPr>
    </w:p>
    <w:p w14:paraId="001F3323" w14:textId="30C0FE5E" w:rsidR="00A5576D" w:rsidRDefault="00A5576D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53F059DF" w14:textId="77777777" w:rsidR="003D38D8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</w:t>
      </w:r>
      <w:proofErr w:type="gramStart"/>
      <w:r w:rsidRPr="00C66BD6">
        <w:t xml:space="preserve">distribution( </w:t>
      </w:r>
      <w:r w:rsidR="005B6240" w:rsidRPr="00C66BD6">
        <w:t>(</w:t>
      </w:r>
      <w:proofErr w:type="gramEnd"/>
      <w:r w:rsidR="005B6240" w:rsidRPr="00C66BD6">
        <w:t>mean, standard deviation, minimum, an</w:t>
      </w:r>
      <w:r w:rsidR="00460FE2" w:rsidRPr="00C66BD6">
        <w:t>d maximum).</w:t>
      </w:r>
    </w:p>
    <w:p w14:paraId="783A66C1" w14:textId="77777777" w:rsidR="003D38D8" w:rsidRDefault="003D38D8" w:rsidP="003D38D8">
      <w:pPr>
        <w:jc w:val="both"/>
      </w:pPr>
    </w:p>
    <w:p w14:paraId="4AF29C2D" w14:textId="6E0951AA" w:rsidR="00CC33AA" w:rsidRDefault="003D38D8" w:rsidP="003D38D8">
      <w:pPr>
        <w:jc w:val="both"/>
      </w:pPr>
      <w:r>
        <w:rPr>
          <w:noProof/>
        </w:rPr>
        <w:drawing>
          <wp:inline distT="0" distB="0" distL="0" distR="0" wp14:anchorId="760BA13E" wp14:editId="08C7A4C8">
            <wp:extent cx="5486400" cy="36576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FE2" w:rsidRPr="00C66BD6">
        <w:t xml:space="preserve">  </w:t>
      </w:r>
    </w:p>
    <w:tbl>
      <w:tblPr>
        <w:tblStyle w:val="TableGrid"/>
        <w:tblW w:w="0" w:type="auto"/>
        <w:tblInd w:w="2178" w:type="dxa"/>
        <w:tblLook w:val="04A0" w:firstRow="1" w:lastRow="0" w:firstColumn="1" w:lastColumn="0" w:noHBand="0" w:noVBand="1"/>
      </w:tblPr>
      <w:tblGrid>
        <w:gridCol w:w="2250"/>
        <w:gridCol w:w="1620"/>
      </w:tblGrid>
      <w:tr w:rsidR="003D38D8" w14:paraId="09F79C75" w14:textId="77777777" w:rsidTr="003D38D8">
        <w:trPr>
          <w:trHeight w:hRule="exact" w:val="288"/>
        </w:trPr>
        <w:tc>
          <w:tcPr>
            <w:tcW w:w="2250" w:type="dxa"/>
          </w:tcPr>
          <w:p w14:paraId="08208CAC" w14:textId="2CBA1257" w:rsidR="003D38D8" w:rsidRDefault="003D38D8" w:rsidP="003D38D8">
            <w:pPr>
              <w:jc w:val="center"/>
            </w:pPr>
            <w:r>
              <w:t>Mean</w:t>
            </w:r>
          </w:p>
        </w:tc>
        <w:tc>
          <w:tcPr>
            <w:tcW w:w="1620" w:type="dxa"/>
          </w:tcPr>
          <w:p w14:paraId="0DB85E39" w14:textId="77777777" w:rsidR="003D38D8" w:rsidRPr="003D38D8" w:rsidRDefault="003D38D8" w:rsidP="003D38D8">
            <w:pPr>
              <w:jc w:val="center"/>
            </w:pPr>
            <w:r w:rsidRPr="003D38D8">
              <w:t>16.36</w:t>
            </w:r>
          </w:p>
          <w:p w14:paraId="63C14EC4" w14:textId="77777777" w:rsidR="003D38D8" w:rsidRDefault="003D38D8" w:rsidP="003D38D8">
            <w:pPr>
              <w:jc w:val="center"/>
            </w:pPr>
          </w:p>
        </w:tc>
      </w:tr>
      <w:tr w:rsidR="003D38D8" w14:paraId="2830B31D" w14:textId="77777777" w:rsidTr="003D38D8">
        <w:trPr>
          <w:trHeight w:hRule="exact" w:val="288"/>
        </w:trPr>
        <w:tc>
          <w:tcPr>
            <w:tcW w:w="2250" w:type="dxa"/>
          </w:tcPr>
          <w:p w14:paraId="7B39F384" w14:textId="36F0A83F" w:rsidR="003D38D8" w:rsidRDefault="003D38D8" w:rsidP="003D38D8">
            <w:pPr>
              <w:jc w:val="center"/>
            </w:pPr>
            <w:r>
              <w:t>Standard Deviation</w:t>
            </w:r>
          </w:p>
        </w:tc>
        <w:tc>
          <w:tcPr>
            <w:tcW w:w="1620" w:type="dxa"/>
          </w:tcPr>
          <w:p w14:paraId="1C093B3B" w14:textId="21CC6B75" w:rsidR="003D38D8" w:rsidRPr="003D38D8" w:rsidRDefault="003D38D8" w:rsidP="003D38D8">
            <w:pPr>
              <w:jc w:val="center"/>
            </w:pPr>
            <w:r w:rsidRPr="003D38D8">
              <w:t>1.02</w:t>
            </w:r>
          </w:p>
          <w:p w14:paraId="794005F0" w14:textId="77777777" w:rsidR="003D38D8" w:rsidRPr="003D38D8" w:rsidRDefault="003D38D8" w:rsidP="003D38D8">
            <w:pPr>
              <w:jc w:val="center"/>
            </w:pPr>
          </w:p>
        </w:tc>
      </w:tr>
      <w:tr w:rsidR="003D38D8" w14:paraId="5BB8B602" w14:textId="77777777" w:rsidTr="003D38D8">
        <w:trPr>
          <w:trHeight w:hRule="exact" w:val="288"/>
        </w:trPr>
        <w:tc>
          <w:tcPr>
            <w:tcW w:w="2250" w:type="dxa"/>
          </w:tcPr>
          <w:p w14:paraId="6F541ACD" w14:textId="2CD64BC6" w:rsidR="003D38D8" w:rsidRDefault="003D38D8" w:rsidP="003D38D8">
            <w:pPr>
              <w:jc w:val="center"/>
            </w:pPr>
            <w:r>
              <w:t>Min</w:t>
            </w:r>
          </w:p>
        </w:tc>
        <w:tc>
          <w:tcPr>
            <w:tcW w:w="1620" w:type="dxa"/>
          </w:tcPr>
          <w:p w14:paraId="4D2E3B95" w14:textId="6F65E90E" w:rsidR="003D38D8" w:rsidRPr="003D38D8" w:rsidRDefault="003D38D8" w:rsidP="003D38D8">
            <w:pPr>
              <w:jc w:val="center"/>
            </w:pPr>
            <w:r w:rsidRPr="003D38D8">
              <w:t>12.84</w:t>
            </w:r>
          </w:p>
          <w:p w14:paraId="08951E51" w14:textId="77777777" w:rsidR="003D38D8" w:rsidRDefault="003D38D8" w:rsidP="003D38D8">
            <w:pPr>
              <w:jc w:val="center"/>
            </w:pPr>
          </w:p>
        </w:tc>
      </w:tr>
      <w:tr w:rsidR="003D38D8" w14:paraId="4282AC6F" w14:textId="77777777" w:rsidTr="003D38D8">
        <w:trPr>
          <w:trHeight w:hRule="exact" w:val="288"/>
        </w:trPr>
        <w:tc>
          <w:tcPr>
            <w:tcW w:w="2250" w:type="dxa"/>
          </w:tcPr>
          <w:p w14:paraId="36231ACD" w14:textId="5783553A" w:rsidR="003D38D8" w:rsidRDefault="003D38D8" w:rsidP="003D38D8">
            <w:pPr>
              <w:jc w:val="center"/>
            </w:pPr>
            <w:r>
              <w:t>Max</w:t>
            </w:r>
          </w:p>
        </w:tc>
        <w:tc>
          <w:tcPr>
            <w:tcW w:w="1620" w:type="dxa"/>
          </w:tcPr>
          <w:p w14:paraId="7BC7FEB0" w14:textId="7849067B" w:rsidR="003D38D8" w:rsidRPr="003D38D8" w:rsidRDefault="003D38D8" w:rsidP="003D38D8">
            <w:pPr>
              <w:jc w:val="center"/>
            </w:pPr>
            <w:r w:rsidRPr="003D38D8">
              <w:t>20.13</w:t>
            </w:r>
          </w:p>
        </w:tc>
      </w:tr>
    </w:tbl>
    <w:p w14:paraId="13FB7E97" w14:textId="3234117E" w:rsidR="003D38D8" w:rsidRDefault="003D38D8" w:rsidP="003D38D8">
      <w:pPr>
        <w:jc w:val="center"/>
      </w:pPr>
    </w:p>
    <w:p w14:paraId="128FCFD0" w14:textId="77777777" w:rsidR="003D38D8" w:rsidRPr="00C66BD6" w:rsidRDefault="003D38D8" w:rsidP="003D38D8">
      <w:pPr>
        <w:jc w:val="both"/>
      </w:pPr>
    </w:p>
    <w:p w14:paraId="6232514C" w14:textId="20398965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5A58BD09" w14:textId="0E3A8C25" w:rsidR="004174FB" w:rsidRDefault="004174FB" w:rsidP="004174FB">
      <w:pPr>
        <w:jc w:val="both"/>
      </w:pPr>
      <w:r>
        <w:t xml:space="preserve">Some realizations of the data give the following </w:t>
      </w:r>
      <w:r w:rsidR="00DC2B60">
        <w:t>probabilities</w:t>
      </w:r>
      <w:r>
        <w:t xml:space="preserve"> that the differences occurred by chance</w:t>
      </w:r>
    </w:p>
    <w:p w14:paraId="1BBE11ED" w14:textId="455E271F" w:rsidR="004174FB" w:rsidRDefault="004174FB" w:rsidP="004174FB">
      <w:pPr>
        <w:pStyle w:val="ListParagraph"/>
        <w:numPr>
          <w:ilvl w:val="0"/>
          <w:numId w:val="4"/>
        </w:numPr>
        <w:jc w:val="both"/>
      </w:pPr>
      <w:r>
        <w:t>El-Nino: 15.99%</w:t>
      </w:r>
    </w:p>
    <w:p w14:paraId="480FA408" w14:textId="4C3F8254" w:rsidR="004174FB" w:rsidRPr="00C66BD6" w:rsidRDefault="004174FB" w:rsidP="004174FB">
      <w:pPr>
        <w:pStyle w:val="ListParagraph"/>
        <w:numPr>
          <w:ilvl w:val="0"/>
          <w:numId w:val="4"/>
        </w:numPr>
        <w:jc w:val="both"/>
      </w:pPr>
      <w:r>
        <w:t>La-Nina: 8.42%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75C72F88" w:rsidR="00C54CC7" w:rsidRDefault="00C54CC7" w:rsidP="00EA42DC">
      <w:pPr>
        <w:jc w:val="both"/>
      </w:pPr>
    </w:p>
    <w:p w14:paraId="7577726F" w14:textId="77A3A4BA" w:rsidR="00CB34DB" w:rsidRDefault="004174FB" w:rsidP="000702D6">
      <w:r>
        <w:t>We n</w:t>
      </w:r>
      <w:r w:rsidR="00CB34DB">
        <w:t>otice that</w:t>
      </w:r>
      <w:r>
        <w:t xml:space="preserve"> the value for %</w:t>
      </w:r>
      <w:r w:rsidR="00CB34DB">
        <w:t xml:space="preserve"> random chance seems to converge between group members at high values of n. (roughly n=100,000)</w:t>
      </w:r>
      <w:r>
        <w:t xml:space="preserve">. At lower numbers of samples, </w:t>
      </w:r>
      <w:r>
        <w:lastRenderedPageBreak/>
        <w:t xml:space="preserve">the variance in our answers between members appeared to increase. </w:t>
      </w:r>
      <w:r w:rsidR="00E4096D">
        <w:t>This makes sense as we expect the variation and effects of discreet numbers to be amplified at low numbers of samples.</w:t>
      </w:r>
    </w:p>
    <w:p w14:paraId="50260858" w14:textId="5E1B006B" w:rsidR="00CB34DB" w:rsidRDefault="00CB34DB" w:rsidP="00EA42DC">
      <w:pPr>
        <w:jc w:val="both"/>
      </w:pPr>
    </w:p>
    <w:p w14:paraId="4CEC01A8" w14:textId="77777777" w:rsidR="00CB34DB" w:rsidRDefault="00CB34DB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77777777" w:rsidR="0012233C" w:rsidRDefault="0012233C" w:rsidP="00EA42DC">
      <w:pPr>
        <w:jc w:val="both"/>
        <w:rPr>
          <w:b/>
        </w:rPr>
      </w:pP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AD2C83" w:rsidP="00561148">
      <w:pPr>
        <w:jc w:val="both"/>
        <w:rPr>
          <w:rFonts w:ascii="Cambria" w:hAnsi="Cambria"/>
        </w:rPr>
      </w:pPr>
      <w:hyperlink r:id="rId8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06A7B83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>2600-</w:t>
      </w:r>
      <w:proofErr w:type="spellStart"/>
      <w:r w:rsidR="008275BA">
        <w:t>year long</w:t>
      </w:r>
      <w:proofErr w:type="spellEnd"/>
      <w:r w:rsidR="008275BA">
        <w:t xml:space="preserve">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 w:rsidR="00D522CC"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1498B5C" w14:textId="32C49775" w:rsidR="00023277" w:rsidRDefault="00023277" w:rsidP="00F80C45">
      <w:pPr>
        <w:jc w:val="both"/>
      </w:pPr>
    </w:p>
    <w:p w14:paraId="7070CFE5" w14:textId="392AF32D" w:rsidR="00537D9F" w:rsidRPr="00537D9F" w:rsidRDefault="00537D9F" w:rsidP="00537D9F">
      <w:pPr>
        <w:jc w:val="both"/>
      </w:pPr>
      <w:r>
        <w:t>Computed m</w:t>
      </w:r>
      <w:r w:rsidRPr="00537D9F">
        <w:t>ean 1850 global mean surface temperature</w:t>
      </w:r>
      <w:r>
        <w:t xml:space="preserve">: </w:t>
      </w:r>
      <w:r w:rsidRPr="00537D9F">
        <w:t>287.11</w:t>
      </w:r>
    </w:p>
    <w:p w14:paraId="7FE97433" w14:textId="4362866F" w:rsidR="00537D9F" w:rsidRPr="00537D9F" w:rsidRDefault="00537D9F" w:rsidP="00537D9F">
      <w:pPr>
        <w:jc w:val="both"/>
      </w:pPr>
      <w:r>
        <w:t>Computed s</w:t>
      </w:r>
      <w:r w:rsidRPr="00537D9F">
        <w:t>tandard deviation in 1850 global mean surface temperature:</w:t>
      </w:r>
      <w:r>
        <w:t xml:space="preserve"> </w:t>
      </w:r>
      <w:r w:rsidRPr="00537D9F">
        <w:t>0.1</w:t>
      </w:r>
    </w:p>
    <w:p w14:paraId="3AF33999" w14:textId="77777777" w:rsidR="00537D9F" w:rsidRDefault="00537D9F" w:rsidP="00F80C45">
      <w:pPr>
        <w:jc w:val="both"/>
      </w:pPr>
    </w:p>
    <w:p w14:paraId="05E785A5" w14:textId="0E442307" w:rsidR="00842B25" w:rsidRDefault="008327D1" w:rsidP="00F80C45">
      <w:pPr>
        <w:jc w:val="both"/>
      </w:pPr>
      <w:r w:rsidRPr="008327D1">
        <w:lastRenderedPageBreak/>
        <w:drawing>
          <wp:inline distT="0" distB="0" distL="0" distR="0" wp14:anchorId="4254E54A" wp14:editId="4DED2B16">
            <wp:extent cx="4673600" cy="40005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8853" w14:textId="4E12654A" w:rsidR="00537D9F" w:rsidRDefault="00537D9F" w:rsidP="00F80C45">
      <w:pPr>
        <w:jc w:val="both"/>
      </w:pPr>
      <w:r>
        <w:t>This standardized data appears to be normally distributed.</w:t>
      </w:r>
    </w:p>
    <w:p w14:paraId="4E917AED" w14:textId="3E25AC31" w:rsidR="00842B25" w:rsidRDefault="00842B25" w:rsidP="00F80C45">
      <w:pPr>
        <w:jc w:val="both"/>
      </w:pPr>
    </w:p>
    <w:p w14:paraId="464BA253" w14:textId="77777777" w:rsidR="00842B25" w:rsidRDefault="00842B25" w:rsidP="00F80C45">
      <w:pPr>
        <w:jc w:val="both"/>
      </w:pPr>
    </w:p>
    <w:p w14:paraId="3B03D3C2" w14:textId="7BDA05BD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761B1A45" w14:textId="08CBB797" w:rsidR="00AA7F00" w:rsidRDefault="00AA7F00" w:rsidP="00F80C45">
      <w:pPr>
        <w:jc w:val="both"/>
      </w:pPr>
    </w:p>
    <w:p w14:paraId="0A4ECC56" w14:textId="0411E794" w:rsidR="00AA7F00" w:rsidRDefault="00AA7F00" w:rsidP="00F80C45">
      <w:pPr>
        <w:jc w:val="both"/>
      </w:pPr>
      <w:r>
        <w:t xml:space="preserve">We will use a standard 95% confidence interval. The null hypothesis is that the 1850 control run mean and the ensemble member mean are the same.  We will </w:t>
      </w:r>
      <w:r w:rsidR="00E455D9">
        <w:t xml:space="preserve">use a </w:t>
      </w:r>
      <w:proofErr w:type="gramStart"/>
      <w:r w:rsidR="00E455D9">
        <w:t>two sided</w:t>
      </w:r>
      <w:proofErr w:type="gramEnd"/>
      <w:r w:rsidR="00E455D9">
        <w:t xml:space="preserve"> test, corresponding to a critical z-score of 1.96.  We compute z-score for the ensemble member of </w:t>
      </w:r>
      <w:r w:rsidR="00B73312">
        <w:t xml:space="preserve">11.18. </w:t>
      </w:r>
      <w:proofErr w:type="gramStart"/>
      <w:r w:rsidR="00B73312">
        <w:t>Thus</w:t>
      </w:r>
      <w:proofErr w:type="gramEnd"/>
      <w:r w:rsidR="00B73312">
        <w:t xml:space="preserve"> we are able to reject the null hypothesis. </w:t>
      </w:r>
    </w:p>
    <w:p w14:paraId="7ED0A338" w14:textId="77777777" w:rsidR="00944FAD" w:rsidRPr="00C66BD6" w:rsidRDefault="00944FAD" w:rsidP="00F80C45">
      <w:pPr>
        <w:jc w:val="both"/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</w:t>
      </w:r>
      <w:r w:rsidR="003F16D5">
        <w:lastRenderedPageBreak/>
        <w:t xml:space="preserve">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4E67713C" w14:textId="2AB191F0" w:rsidR="00CE54A3" w:rsidRDefault="00CE54A3" w:rsidP="00EA42DC">
      <w:pPr>
        <w:jc w:val="both"/>
        <w:rPr>
          <w:color w:val="FF0000"/>
        </w:rPr>
      </w:pPr>
    </w:p>
    <w:p w14:paraId="79387ED9" w14:textId="076742CC" w:rsidR="004F1033" w:rsidRDefault="004F1033" w:rsidP="00EA42DC">
      <w:pPr>
        <w:jc w:val="both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4F1033" w:rsidRPr="004F1033" w14:paraId="7E7E7EC8" w14:textId="77777777" w:rsidTr="004F1033">
        <w:tc>
          <w:tcPr>
            <w:tcW w:w="1771" w:type="dxa"/>
          </w:tcPr>
          <w:p w14:paraId="61F66289" w14:textId="77777777" w:rsidR="004F1033" w:rsidRPr="004F1033" w:rsidRDefault="004F1033" w:rsidP="00EA42DC">
            <w:pPr>
              <w:jc w:val="both"/>
              <w:rPr>
                <w:b/>
                <w:bCs/>
              </w:rPr>
            </w:pPr>
          </w:p>
        </w:tc>
        <w:tc>
          <w:tcPr>
            <w:tcW w:w="1771" w:type="dxa"/>
          </w:tcPr>
          <w:p w14:paraId="442F1CA7" w14:textId="5673DE0B" w:rsidR="004F1033" w:rsidRPr="004F1033" w:rsidRDefault="004F1033" w:rsidP="00EA42DC">
            <w:pPr>
              <w:jc w:val="both"/>
              <w:rPr>
                <w:b/>
                <w:bCs/>
              </w:rPr>
            </w:pPr>
            <w:r w:rsidRPr="004F1033">
              <w:rPr>
                <w:b/>
                <w:bCs/>
              </w:rPr>
              <w:t>Lower Z CI</w:t>
            </w:r>
          </w:p>
        </w:tc>
        <w:tc>
          <w:tcPr>
            <w:tcW w:w="1771" w:type="dxa"/>
          </w:tcPr>
          <w:p w14:paraId="5E6B084F" w14:textId="45374A87" w:rsidR="004F1033" w:rsidRPr="004F1033" w:rsidRDefault="004F1033" w:rsidP="00EA42DC">
            <w:pPr>
              <w:jc w:val="both"/>
              <w:rPr>
                <w:b/>
                <w:bCs/>
              </w:rPr>
            </w:pPr>
            <w:r w:rsidRPr="004F1033">
              <w:rPr>
                <w:b/>
                <w:bCs/>
              </w:rPr>
              <w:t>Upper Z CI</w:t>
            </w:r>
          </w:p>
        </w:tc>
        <w:tc>
          <w:tcPr>
            <w:tcW w:w="1771" w:type="dxa"/>
          </w:tcPr>
          <w:p w14:paraId="4B2AB024" w14:textId="5813A524" w:rsidR="004F1033" w:rsidRPr="004F1033" w:rsidRDefault="004F1033" w:rsidP="00EA42DC">
            <w:pPr>
              <w:jc w:val="both"/>
              <w:rPr>
                <w:b/>
                <w:bCs/>
              </w:rPr>
            </w:pPr>
            <w:r w:rsidRPr="004F1033">
              <w:rPr>
                <w:b/>
                <w:bCs/>
              </w:rPr>
              <w:t>Lower T CI</w:t>
            </w:r>
          </w:p>
        </w:tc>
        <w:tc>
          <w:tcPr>
            <w:tcW w:w="1772" w:type="dxa"/>
          </w:tcPr>
          <w:p w14:paraId="3FB42F11" w14:textId="32F78D99" w:rsidR="004F1033" w:rsidRPr="004F1033" w:rsidRDefault="004F1033" w:rsidP="00EA42DC">
            <w:pPr>
              <w:jc w:val="both"/>
              <w:rPr>
                <w:b/>
                <w:bCs/>
              </w:rPr>
            </w:pPr>
            <w:r w:rsidRPr="004F1033">
              <w:rPr>
                <w:b/>
                <w:bCs/>
              </w:rPr>
              <w:t>Upper T CI</w:t>
            </w:r>
          </w:p>
        </w:tc>
      </w:tr>
      <w:tr w:rsidR="004F1033" w14:paraId="6372BCE6" w14:textId="77777777" w:rsidTr="004F1033">
        <w:tc>
          <w:tcPr>
            <w:tcW w:w="1771" w:type="dxa"/>
          </w:tcPr>
          <w:p w14:paraId="55D2B62A" w14:textId="57F29B11" w:rsidR="004F1033" w:rsidRPr="004F1033" w:rsidRDefault="004F1033" w:rsidP="00EA42DC">
            <w:pPr>
              <w:jc w:val="both"/>
              <w:rPr>
                <w:b/>
                <w:bCs/>
              </w:rPr>
            </w:pPr>
            <w:r w:rsidRPr="004F1033">
              <w:rPr>
                <w:b/>
                <w:bCs/>
              </w:rPr>
              <w:t>All Members</w:t>
            </w:r>
          </w:p>
        </w:tc>
        <w:tc>
          <w:tcPr>
            <w:tcW w:w="1771" w:type="dxa"/>
          </w:tcPr>
          <w:p w14:paraId="0FA35EAC" w14:textId="0425E575" w:rsidR="004F1033" w:rsidRPr="004F1033" w:rsidRDefault="004F1033" w:rsidP="00B10209">
            <w:r>
              <w:t>3.61</w:t>
            </w:r>
          </w:p>
        </w:tc>
        <w:tc>
          <w:tcPr>
            <w:tcW w:w="1771" w:type="dxa"/>
          </w:tcPr>
          <w:p w14:paraId="0973B82A" w14:textId="502DA9FF" w:rsidR="004F1033" w:rsidRPr="004F1033" w:rsidRDefault="004F1033" w:rsidP="00B10209">
            <w:r>
              <w:t>3.66</w:t>
            </w:r>
          </w:p>
        </w:tc>
        <w:tc>
          <w:tcPr>
            <w:tcW w:w="1771" w:type="dxa"/>
          </w:tcPr>
          <w:p w14:paraId="376CE845" w14:textId="5EF843D9" w:rsidR="004F1033" w:rsidRPr="004F1033" w:rsidRDefault="004F1033" w:rsidP="00B10209">
            <w:r>
              <w:t>3.61</w:t>
            </w:r>
          </w:p>
        </w:tc>
        <w:tc>
          <w:tcPr>
            <w:tcW w:w="1772" w:type="dxa"/>
          </w:tcPr>
          <w:p w14:paraId="68175DB4" w14:textId="1C5AD66A" w:rsidR="004F1033" w:rsidRPr="004F1033" w:rsidRDefault="004F1033" w:rsidP="00B10209">
            <w:r>
              <w:t>3.66</w:t>
            </w:r>
          </w:p>
        </w:tc>
      </w:tr>
      <w:tr w:rsidR="004F1033" w14:paraId="4EF55D38" w14:textId="77777777" w:rsidTr="004F1033">
        <w:tc>
          <w:tcPr>
            <w:tcW w:w="1771" w:type="dxa"/>
          </w:tcPr>
          <w:p w14:paraId="43C59CB8" w14:textId="7C2E9BC4" w:rsidR="004F1033" w:rsidRPr="004F1033" w:rsidRDefault="004F1033" w:rsidP="00EA42DC">
            <w:pPr>
              <w:jc w:val="both"/>
              <w:rPr>
                <w:b/>
                <w:bCs/>
              </w:rPr>
            </w:pPr>
            <w:r w:rsidRPr="004F1033">
              <w:rPr>
                <w:b/>
                <w:bCs/>
              </w:rPr>
              <w:t>6 Members</w:t>
            </w:r>
          </w:p>
        </w:tc>
        <w:tc>
          <w:tcPr>
            <w:tcW w:w="1771" w:type="dxa"/>
          </w:tcPr>
          <w:p w14:paraId="0F1A1E88" w14:textId="46B4B165" w:rsidR="004F1033" w:rsidRPr="00953330" w:rsidRDefault="004F1033" w:rsidP="00B10209">
            <w:pPr>
              <w:rPr>
                <w:highlight w:val="darkYellow"/>
              </w:rPr>
            </w:pPr>
            <w:r w:rsidRPr="00953330">
              <w:rPr>
                <w:highlight w:val="darkYellow"/>
              </w:rPr>
              <w:t>3.</w:t>
            </w:r>
            <w:r w:rsidR="00B10209" w:rsidRPr="00953330">
              <w:rPr>
                <w:highlight w:val="darkYellow"/>
              </w:rPr>
              <w:t>61</w:t>
            </w:r>
          </w:p>
        </w:tc>
        <w:tc>
          <w:tcPr>
            <w:tcW w:w="1771" w:type="dxa"/>
          </w:tcPr>
          <w:p w14:paraId="7811F928" w14:textId="6AA968C8" w:rsidR="004F1033" w:rsidRPr="00953330" w:rsidRDefault="00B10209" w:rsidP="00B10209">
            <w:pPr>
              <w:rPr>
                <w:highlight w:val="darkYellow"/>
              </w:rPr>
            </w:pPr>
            <w:r w:rsidRPr="00953330">
              <w:rPr>
                <w:highlight w:val="darkYellow"/>
              </w:rPr>
              <w:t>3.67</w:t>
            </w:r>
          </w:p>
        </w:tc>
        <w:tc>
          <w:tcPr>
            <w:tcW w:w="1771" w:type="dxa"/>
          </w:tcPr>
          <w:p w14:paraId="649064BF" w14:textId="2C4CCD25" w:rsidR="004F1033" w:rsidRPr="004F1033" w:rsidRDefault="004F1033" w:rsidP="00B10209">
            <w:r>
              <w:t>3.60</w:t>
            </w:r>
          </w:p>
        </w:tc>
        <w:tc>
          <w:tcPr>
            <w:tcW w:w="1772" w:type="dxa"/>
          </w:tcPr>
          <w:p w14:paraId="1275DEE9" w14:textId="0E3DD7D7" w:rsidR="004F1033" w:rsidRPr="004F1033" w:rsidRDefault="004F1033" w:rsidP="00B10209">
            <w:r>
              <w:t>3.68</w:t>
            </w:r>
          </w:p>
        </w:tc>
      </w:tr>
      <w:tr w:rsidR="004F1033" w14:paraId="51625317" w14:textId="77777777" w:rsidTr="004F1033">
        <w:tc>
          <w:tcPr>
            <w:tcW w:w="1771" w:type="dxa"/>
          </w:tcPr>
          <w:p w14:paraId="36061F9C" w14:textId="7C9248E9" w:rsidR="004F1033" w:rsidRPr="004F1033" w:rsidRDefault="004F1033" w:rsidP="00EA42DC">
            <w:pPr>
              <w:jc w:val="both"/>
              <w:rPr>
                <w:b/>
                <w:bCs/>
              </w:rPr>
            </w:pPr>
            <w:r w:rsidRPr="004F1033">
              <w:rPr>
                <w:b/>
                <w:bCs/>
              </w:rPr>
              <w:t>3 Members</w:t>
            </w:r>
          </w:p>
        </w:tc>
        <w:tc>
          <w:tcPr>
            <w:tcW w:w="1771" w:type="dxa"/>
          </w:tcPr>
          <w:p w14:paraId="23F77D96" w14:textId="2C708BDF" w:rsidR="004F1033" w:rsidRPr="00953330" w:rsidRDefault="004F1033" w:rsidP="00B10209">
            <w:pPr>
              <w:rPr>
                <w:highlight w:val="darkYellow"/>
              </w:rPr>
            </w:pPr>
            <w:r w:rsidRPr="00953330">
              <w:rPr>
                <w:highlight w:val="darkYellow"/>
              </w:rPr>
              <w:t>3.6</w:t>
            </w:r>
            <w:r w:rsidR="00B10209" w:rsidRPr="00953330">
              <w:rPr>
                <w:highlight w:val="darkYellow"/>
              </w:rPr>
              <w:t>3</w:t>
            </w:r>
          </w:p>
        </w:tc>
        <w:tc>
          <w:tcPr>
            <w:tcW w:w="1771" w:type="dxa"/>
          </w:tcPr>
          <w:p w14:paraId="6899BC21" w14:textId="44B280D8" w:rsidR="004F1033" w:rsidRPr="00953330" w:rsidRDefault="00B10209" w:rsidP="00B10209">
            <w:pPr>
              <w:rPr>
                <w:highlight w:val="darkYellow"/>
              </w:rPr>
            </w:pPr>
            <w:r w:rsidRPr="00953330">
              <w:rPr>
                <w:highlight w:val="darkYellow"/>
              </w:rPr>
              <w:t>3.69</w:t>
            </w:r>
          </w:p>
        </w:tc>
        <w:tc>
          <w:tcPr>
            <w:tcW w:w="1771" w:type="dxa"/>
          </w:tcPr>
          <w:p w14:paraId="6CD3399E" w14:textId="309C09CB" w:rsidR="004F1033" w:rsidRPr="004F1033" w:rsidRDefault="00B10209" w:rsidP="00B10209">
            <w:r>
              <w:t>3.59</w:t>
            </w:r>
          </w:p>
        </w:tc>
        <w:tc>
          <w:tcPr>
            <w:tcW w:w="1772" w:type="dxa"/>
          </w:tcPr>
          <w:p w14:paraId="7E56575C" w14:textId="3F5A2AD1" w:rsidR="004F1033" w:rsidRPr="004F1033" w:rsidRDefault="00B10209" w:rsidP="00B10209">
            <w:r>
              <w:t>3.74</w:t>
            </w:r>
          </w:p>
        </w:tc>
      </w:tr>
    </w:tbl>
    <w:p w14:paraId="1F7A383F" w14:textId="6521A8FE" w:rsidR="004F1033" w:rsidRDefault="00B10209" w:rsidP="00EA42DC">
      <w:pPr>
        <w:jc w:val="both"/>
        <w:rPr>
          <w:color w:val="FF0000"/>
        </w:rPr>
      </w:pPr>
      <w:r w:rsidRPr="00B10209">
        <w:rPr>
          <w:color w:val="FF0000"/>
        </w:rPr>
        <w:drawing>
          <wp:inline distT="0" distB="0" distL="0" distR="0" wp14:anchorId="25BE3EE9" wp14:editId="0E80253F">
            <wp:extent cx="4470400" cy="40640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0093" w14:textId="496C943A" w:rsidR="00B10209" w:rsidRDefault="00B10209" w:rsidP="00EA42DC">
      <w:pPr>
        <w:jc w:val="both"/>
      </w:pPr>
      <w:r w:rsidRPr="00B10209">
        <w:t xml:space="preserve">Assuming normal </w:t>
      </w:r>
      <w:r w:rsidR="00025B6F" w:rsidRPr="00B10209">
        <w:t>distribution</w:t>
      </w:r>
      <w:r w:rsidRPr="00B10209">
        <w:t xml:space="preserve"> of warming may not be the best assumption.  At first glance, this distribution appears to have some skew. </w:t>
      </w:r>
    </w:p>
    <w:p w14:paraId="1E909CEF" w14:textId="2CE13253" w:rsidR="00953330" w:rsidRDefault="00953330" w:rsidP="00AD2C83"/>
    <w:p w14:paraId="56546827" w14:textId="0A4B11A7" w:rsidR="00953330" w:rsidRDefault="00953330" w:rsidP="00AD2C83">
      <w:r>
        <w:t xml:space="preserve">Additionally, we see the bounds on the 95% CI for the t-test grow with decreasing sample size.  This makes sense as we should have less confidence in our estimates with less data.  The bounds for the z-score do not follow as clean of a pattern, however it is important to remember that the z-score assumes that we have n&gt;30 samples so the cells colored </w:t>
      </w:r>
      <w:r w:rsidRPr="00953330">
        <w:rPr>
          <w:highlight w:val="darkYellow"/>
        </w:rPr>
        <w:t>yellow</w:t>
      </w:r>
      <w:r>
        <w:t xml:space="preserve"> may have some dubious </w:t>
      </w:r>
      <w:r w:rsidR="004365EE">
        <w:t xml:space="preserve">underlying </w:t>
      </w:r>
      <w:r>
        <w:t xml:space="preserve">assumptions. </w:t>
      </w:r>
    </w:p>
    <w:p w14:paraId="3D2D954B" w14:textId="352BC4D8" w:rsidR="00953330" w:rsidRPr="00B10209" w:rsidRDefault="00953330" w:rsidP="00EA42DC">
      <w:pPr>
        <w:jc w:val="both"/>
      </w:pPr>
    </w:p>
    <w:sectPr w:rsidR="00953330" w:rsidRPr="00B10209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MathJax_Main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2795E"/>
    <w:multiLevelType w:val="multilevel"/>
    <w:tmpl w:val="CB04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41EB9"/>
    <w:multiLevelType w:val="hybridMultilevel"/>
    <w:tmpl w:val="CD666006"/>
    <w:lvl w:ilvl="0" w:tplc="580EA56C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25B6F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702D6"/>
    <w:rsid w:val="0007146F"/>
    <w:rsid w:val="00071DC4"/>
    <w:rsid w:val="00072AAC"/>
    <w:rsid w:val="00074B8C"/>
    <w:rsid w:val="00081D60"/>
    <w:rsid w:val="0008233C"/>
    <w:rsid w:val="000A369B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3804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67FFC"/>
    <w:rsid w:val="00181555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0D7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0A6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419AB"/>
    <w:rsid w:val="0035368A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34D9"/>
    <w:rsid w:val="003B7FEB"/>
    <w:rsid w:val="003C0452"/>
    <w:rsid w:val="003C10DE"/>
    <w:rsid w:val="003D2F56"/>
    <w:rsid w:val="003D38D8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174FB"/>
    <w:rsid w:val="004205D1"/>
    <w:rsid w:val="00420883"/>
    <w:rsid w:val="00420C56"/>
    <w:rsid w:val="004231A6"/>
    <w:rsid w:val="004254D4"/>
    <w:rsid w:val="004267A3"/>
    <w:rsid w:val="00432B08"/>
    <w:rsid w:val="00434C9C"/>
    <w:rsid w:val="004365EE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4F1033"/>
    <w:rsid w:val="00502178"/>
    <w:rsid w:val="005177BD"/>
    <w:rsid w:val="00522B6F"/>
    <w:rsid w:val="00530356"/>
    <w:rsid w:val="00537D9F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D02FB"/>
    <w:rsid w:val="005D0A0D"/>
    <w:rsid w:val="005E3764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27493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A6B93"/>
    <w:rsid w:val="006B1574"/>
    <w:rsid w:val="006B44EF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2288"/>
    <w:rsid w:val="007436C8"/>
    <w:rsid w:val="00744E18"/>
    <w:rsid w:val="00753D15"/>
    <w:rsid w:val="007631C9"/>
    <w:rsid w:val="0076364C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75BA"/>
    <w:rsid w:val="00830E31"/>
    <w:rsid w:val="00831CAE"/>
    <w:rsid w:val="008327D1"/>
    <w:rsid w:val="00835069"/>
    <w:rsid w:val="0083564D"/>
    <w:rsid w:val="008364B3"/>
    <w:rsid w:val="00836FD7"/>
    <w:rsid w:val="00842B25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3330"/>
    <w:rsid w:val="009543FD"/>
    <w:rsid w:val="00962270"/>
    <w:rsid w:val="00962328"/>
    <w:rsid w:val="009640B0"/>
    <w:rsid w:val="0096418E"/>
    <w:rsid w:val="0096593D"/>
    <w:rsid w:val="00971159"/>
    <w:rsid w:val="00972FAE"/>
    <w:rsid w:val="00976ABC"/>
    <w:rsid w:val="00977156"/>
    <w:rsid w:val="0098030C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5576D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A7F00"/>
    <w:rsid w:val="00AB3F55"/>
    <w:rsid w:val="00AB5199"/>
    <w:rsid w:val="00AB64F9"/>
    <w:rsid w:val="00AC5B24"/>
    <w:rsid w:val="00AD2C83"/>
    <w:rsid w:val="00AD3592"/>
    <w:rsid w:val="00AD6F33"/>
    <w:rsid w:val="00AE3405"/>
    <w:rsid w:val="00AE3D6A"/>
    <w:rsid w:val="00AE6D85"/>
    <w:rsid w:val="00AF635F"/>
    <w:rsid w:val="00B10209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466C0"/>
    <w:rsid w:val="00B50677"/>
    <w:rsid w:val="00B50DAC"/>
    <w:rsid w:val="00B55B76"/>
    <w:rsid w:val="00B646C7"/>
    <w:rsid w:val="00B707CB"/>
    <w:rsid w:val="00B72559"/>
    <w:rsid w:val="00B73312"/>
    <w:rsid w:val="00B7404D"/>
    <w:rsid w:val="00B81DDD"/>
    <w:rsid w:val="00B85AB7"/>
    <w:rsid w:val="00B86166"/>
    <w:rsid w:val="00B8691B"/>
    <w:rsid w:val="00B91817"/>
    <w:rsid w:val="00B9522E"/>
    <w:rsid w:val="00B97981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8103C"/>
    <w:rsid w:val="00C813A5"/>
    <w:rsid w:val="00C82A32"/>
    <w:rsid w:val="00C91CC7"/>
    <w:rsid w:val="00C96952"/>
    <w:rsid w:val="00CA3221"/>
    <w:rsid w:val="00CA341E"/>
    <w:rsid w:val="00CB34DB"/>
    <w:rsid w:val="00CC2C20"/>
    <w:rsid w:val="00CC33AA"/>
    <w:rsid w:val="00CC5FA6"/>
    <w:rsid w:val="00CD11CF"/>
    <w:rsid w:val="00CD24F6"/>
    <w:rsid w:val="00CD5E36"/>
    <w:rsid w:val="00CE4266"/>
    <w:rsid w:val="00CE54A3"/>
    <w:rsid w:val="00CF465A"/>
    <w:rsid w:val="00D035F6"/>
    <w:rsid w:val="00D04F1C"/>
    <w:rsid w:val="00D13AA2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2B60"/>
    <w:rsid w:val="00DC5B6C"/>
    <w:rsid w:val="00DD55D2"/>
    <w:rsid w:val="00DE4EE2"/>
    <w:rsid w:val="00DE5F89"/>
    <w:rsid w:val="00DE6DAD"/>
    <w:rsid w:val="00DE7E06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27B68"/>
    <w:rsid w:val="00E4096D"/>
    <w:rsid w:val="00E415BE"/>
    <w:rsid w:val="00E455D9"/>
    <w:rsid w:val="00E45EA7"/>
    <w:rsid w:val="00E46137"/>
    <w:rsid w:val="00E47996"/>
    <w:rsid w:val="00E54FA6"/>
    <w:rsid w:val="00E5548C"/>
    <w:rsid w:val="00E60A37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80C45"/>
    <w:rsid w:val="00F82A18"/>
    <w:rsid w:val="00F840FE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4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44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B44EF"/>
  </w:style>
  <w:style w:type="character" w:customStyle="1" w:styleId="mi">
    <w:name w:val="mi"/>
    <w:basedOn w:val="DefaultParagraphFont"/>
    <w:rsid w:val="006B44EF"/>
  </w:style>
  <w:style w:type="character" w:customStyle="1" w:styleId="mn">
    <w:name w:val="mn"/>
    <w:basedOn w:val="DefaultParagraphFont"/>
    <w:rsid w:val="006B44EF"/>
  </w:style>
  <w:style w:type="character" w:customStyle="1" w:styleId="mjxassistivemathml">
    <w:name w:val="mjx_assistive_mathml"/>
    <w:basedOn w:val="DefaultParagraphFont"/>
    <w:rsid w:val="006B4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m.ucar.edu/projects/community-projects/LE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cc.nrcs.usda.gov/snow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Eli Miller</cp:lastModifiedBy>
  <cp:revision>626</cp:revision>
  <dcterms:created xsi:type="dcterms:W3CDTF">2017-04-26T17:29:00Z</dcterms:created>
  <dcterms:modified xsi:type="dcterms:W3CDTF">2022-01-25T22:27:00Z</dcterms:modified>
</cp:coreProperties>
</file>