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1B78A" w14:textId="286F26C9" w:rsidR="00D737E0" w:rsidRPr="00792EBA" w:rsidRDefault="00A8636C" w:rsidP="00FA1D37">
      <w:pPr>
        <w:pStyle w:val="Heading1"/>
        <w:rPr>
          <w:lang w:val="en-US"/>
        </w:rPr>
      </w:pPr>
      <w:r w:rsidRPr="00FA1D37">
        <w:t>Codebook</w:t>
      </w:r>
    </w:p>
    <w:p w14:paraId="0203827F" w14:textId="6A79CF21" w:rsidR="00FD2952" w:rsidRPr="00FD2952" w:rsidRDefault="00D737E0" w:rsidP="00FD2952">
      <w:pPr>
        <w:spacing w:after="300"/>
        <w:rPr>
          <w:lang w:val="en-US"/>
        </w:rPr>
      </w:pPr>
      <w:r w:rsidRPr="00D737E0">
        <w:t xml:space="preserve">This appendix presents the complete codebook used for the thematic analysis of the </w:t>
      </w:r>
      <w:r w:rsidR="009D503E" w:rsidRPr="009D503E">
        <w:rPr>
          <w:lang w:val="en-US"/>
        </w:rPr>
        <w:t>EA</w:t>
      </w:r>
      <w:r w:rsidR="009D503E">
        <w:rPr>
          <w:lang w:val="en-US"/>
        </w:rPr>
        <w:t xml:space="preserve"> </w:t>
      </w:r>
      <w:r w:rsidRPr="00D737E0">
        <w:t xml:space="preserve">practitioner </w:t>
      </w:r>
      <w:r w:rsidR="00F512F2" w:rsidRPr="00F512F2">
        <w:rPr>
          <w:lang w:val="en-US"/>
        </w:rPr>
        <w:t>f</w:t>
      </w:r>
      <w:r w:rsidR="00F512F2">
        <w:rPr>
          <w:lang w:val="en-US"/>
        </w:rPr>
        <w:t>ocus group review of the PoC</w:t>
      </w:r>
      <w:r w:rsidR="0059129D">
        <w:rPr>
          <w:lang w:val="en-US"/>
        </w:rPr>
        <w:t>.</w:t>
      </w:r>
    </w:p>
    <w:p w14:paraId="23FD1E38" w14:textId="77777777" w:rsidR="00FD2952" w:rsidRDefault="00FD2952" w:rsidP="00FD2952">
      <w:pPr>
        <w:pStyle w:val="Heading2"/>
        <w:spacing w:before="300" w:after="120"/>
      </w:pPr>
      <w:r>
        <w:t>Theme 1: Usability and Interaction</w:t>
      </w:r>
    </w:p>
    <w:p w14:paraId="407D0D2E" w14:textId="7C5C1600" w:rsidR="00FD2952" w:rsidRDefault="00FD2952" w:rsidP="00FD2952">
      <w:pPr>
        <w:spacing w:after="160"/>
      </w:pPr>
      <w:r>
        <w:t>Maps to</w:t>
      </w:r>
      <w:r w:rsidR="007E0035" w:rsidRPr="0059129D">
        <w:rPr>
          <w:lang w:val="en-US"/>
        </w:rPr>
        <w:t xml:space="preserve">: </w:t>
      </w:r>
      <w:r>
        <w:t>Usability and interaction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5800"/>
      </w:tblGrid>
      <w:tr w:rsidR="00FD2952" w14:paraId="328B7BCA" w14:textId="77777777" w:rsidTr="00562A0A">
        <w:tc>
          <w:tcPr>
            <w:tcW w:w="1000" w:type="dxa"/>
            <w:shd w:val="clear" w:color="auto" w:fill="D9D9D9"/>
          </w:tcPr>
          <w:p w14:paraId="186F7874" w14:textId="77777777" w:rsidR="00FD2952" w:rsidRDefault="00FD2952" w:rsidP="00562A0A">
            <w:r>
              <w:rPr>
                <w:b/>
                <w:bCs/>
              </w:rPr>
              <w:t>Code</w:t>
            </w:r>
          </w:p>
        </w:tc>
        <w:tc>
          <w:tcPr>
            <w:tcW w:w="2600" w:type="dxa"/>
            <w:shd w:val="clear" w:color="auto" w:fill="D9D9D9"/>
          </w:tcPr>
          <w:p w14:paraId="076CAC59" w14:textId="77777777" w:rsidR="00FD2952" w:rsidRDefault="00FD2952" w:rsidP="00562A0A">
            <w:r>
              <w:rPr>
                <w:b/>
                <w:bCs/>
              </w:rPr>
              <w:t>Label</w:t>
            </w:r>
          </w:p>
        </w:tc>
        <w:tc>
          <w:tcPr>
            <w:tcW w:w="5800" w:type="dxa"/>
            <w:shd w:val="clear" w:color="auto" w:fill="D9D9D9"/>
          </w:tcPr>
          <w:p w14:paraId="6F1C7A44" w14:textId="77777777" w:rsidR="00FD2952" w:rsidRDefault="00FD2952" w:rsidP="00562A0A">
            <w:r>
              <w:rPr>
                <w:b/>
                <w:bCs/>
              </w:rPr>
              <w:t>Description</w:t>
            </w:r>
          </w:p>
        </w:tc>
      </w:tr>
      <w:tr w:rsidR="00FD2952" w14:paraId="21359A0D" w14:textId="77777777" w:rsidTr="00562A0A">
        <w:tc>
          <w:tcPr>
            <w:tcW w:w="1000" w:type="dxa"/>
          </w:tcPr>
          <w:p w14:paraId="2C18BC3E" w14:textId="77777777" w:rsidR="00FD2952" w:rsidRDefault="00FD2952" w:rsidP="00562A0A">
            <w:r>
              <w:t>1.1</w:t>
            </w:r>
          </w:p>
        </w:tc>
        <w:tc>
          <w:tcPr>
            <w:tcW w:w="2600" w:type="dxa"/>
          </w:tcPr>
          <w:p w14:paraId="4BFA516B" w14:textId="77777777" w:rsidR="00FD2952" w:rsidRDefault="00FD2952" w:rsidP="00562A0A">
            <w:r>
              <w:t>Mode/agent-role transparency</w:t>
            </w:r>
          </w:p>
        </w:tc>
        <w:tc>
          <w:tcPr>
            <w:tcW w:w="5800" w:type="dxa"/>
          </w:tcPr>
          <w:p w14:paraId="5D1246DE" w14:textId="77777777" w:rsidR="00FD2952" w:rsidRDefault="00FD2952" w:rsidP="00562A0A">
            <w:r>
              <w:t>Statements about whether the distinction between the coaching agent and the domain agent, and the visible mode flag (coaching, consulting, facilitation), was clear and useful, or a source of initial confusion</w:t>
            </w:r>
          </w:p>
        </w:tc>
      </w:tr>
      <w:tr w:rsidR="00FD2952" w14:paraId="7E6A9189" w14:textId="77777777" w:rsidTr="00562A0A">
        <w:tc>
          <w:tcPr>
            <w:tcW w:w="1000" w:type="dxa"/>
          </w:tcPr>
          <w:p w14:paraId="2063B1AD" w14:textId="77777777" w:rsidR="00FD2952" w:rsidRDefault="00FD2952" w:rsidP="00562A0A">
            <w:r>
              <w:t>1.2</w:t>
            </w:r>
          </w:p>
        </w:tc>
        <w:tc>
          <w:tcPr>
            <w:tcW w:w="2600" w:type="dxa"/>
          </w:tcPr>
          <w:p w14:paraId="2BA4023B" w14:textId="77777777" w:rsidR="00FD2952" w:rsidRDefault="00FD2952" w:rsidP="00562A0A">
            <w:r>
              <w:t>Structured, verifiable output formatting</w:t>
            </w:r>
          </w:p>
        </w:tc>
        <w:tc>
          <w:tcPr>
            <w:tcW w:w="5800" w:type="dxa"/>
          </w:tcPr>
          <w:p w14:paraId="4DF656BE" w14:textId="77777777" w:rsidR="00FD2952" w:rsidRDefault="00FD2952" w:rsidP="00562A0A">
            <w:r>
              <w:t>Statements evaluating the system's use of structured formats (tables, drill-down detail) as opposed to unstructured prose output</w:t>
            </w:r>
          </w:p>
        </w:tc>
      </w:tr>
      <w:tr w:rsidR="00FD2952" w14:paraId="21AB7A56" w14:textId="77777777" w:rsidTr="00562A0A">
        <w:tc>
          <w:tcPr>
            <w:tcW w:w="1000" w:type="dxa"/>
          </w:tcPr>
          <w:p w14:paraId="595E1ECB" w14:textId="77777777" w:rsidR="00FD2952" w:rsidRDefault="00FD2952" w:rsidP="00562A0A">
            <w:r>
              <w:t>1.3</w:t>
            </w:r>
          </w:p>
        </w:tc>
        <w:tc>
          <w:tcPr>
            <w:tcW w:w="2600" w:type="dxa"/>
          </w:tcPr>
          <w:p w14:paraId="0AD02C7D" w14:textId="77777777" w:rsidR="00FD2952" w:rsidRDefault="00FD2952" w:rsidP="00562A0A">
            <w:r>
              <w:t>Desire for extended data-source integration</w:t>
            </w:r>
          </w:p>
        </w:tc>
        <w:tc>
          <w:tcPr>
            <w:tcW w:w="5800" w:type="dxa"/>
          </w:tcPr>
          <w:p w14:paraId="6F47699C" w14:textId="77777777" w:rsidR="00FD2952" w:rsidRDefault="00FD2952" w:rsidP="00562A0A">
            <w:r>
              <w:t>Statements identifying the ability to connect additional enterprise data sources (e.g. LeanIX, Miro, SharePoint) as a valuable extension beyond the PoC's file-upload mechanism</w:t>
            </w:r>
          </w:p>
        </w:tc>
      </w:tr>
    </w:tbl>
    <w:p w14:paraId="4A81080A" w14:textId="77777777" w:rsidR="00FD2952" w:rsidRPr="0059129D" w:rsidRDefault="00FD2952" w:rsidP="00FD2952">
      <w:pPr>
        <w:spacing w:before="200" w:after="120"/>
        <w:rPr>
          <w:sz w:val="24"/>
          <w:szCs w:val="24"/>
        </w:rPr>
      </w:pPr>
      <w:r w:rsidRPr="0059129D">
        <w:rPr>
          <w:b/>
          <w:bCs/>
          <w:sz w:val="24"/>
          <w:szCs w:val="24"/>
        </w:rPr>
        <w:t>Evidence by Participant</w:t>
      </w:r>
    </w:p>
    <w:p w14:paraId="531E3675" w14:textId="77777777" w:rsidR="00FD2952" w:rsidRDefault="00FD2952" w:rsidP="00FD2952">
      <w:pPr>
        <w:spacing w:before="200" w:after="80"/>
      </w:pPr>
      <w:r>
        <w:rPr>
          <w:b/>
          <w:bCs/>
        </w:rPr>
        <w:t>Code 1.1</w:t>
      </w:r>
    </w:p>
    <w:p w14:paraId="491C03A4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G: </w:t>
      </w:r>
      <w:r>
        <w:rPr>
          <w:i/>
          <w:iCs/>
        </w:rPr>
        <w:t>"I didn't quite follow. I thought you were doing a chat with a coach, so you have two agents in the loop, one being the chat agent and the other the coach. So there's a coaching agent working in the background?"</w:t>
      </w:r>
    </w:p>
    <w:p w14:paraId="52C47BF3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H: </w:t>
      </w:r>
      <w:r>
        <w:rPr>
          <w:i/>
          <w:iCs/>
        </w:rPr>
        <w:t>"I think it's great that you surface these modes explicitly, because that's something you typically never see in a normal chat with an AI agent or bot. You never really know transparently why it's telling you something in a given moment [...] That's genuinely useful, because you can react to it directly."</w:t>
      </w:r>
    </w:p>
    <w:p w14:paraId="56D3FD28" w14:textId="77777777" w:rsidR="00FD2952" w:rsidRDefault="00FD2952" w:rsidP="00FD2952">
      <w:pPr>
        <w:spacing w:before="200" w:after="80"/>
      </w:pPr>
      <w:r>
        <w:rPr>
          <w:b/>
          <w:bCs/>
        </w:rPr>
        <w:t>Code 1.2</w:t>
      </w:r>
    </w:p>
    <w:p w14:paraId="1DA3C63E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H: </w:t>
      </w:r>
      <w:r>
        <w:rPr>
          <w:i/>
          <w:iCs/>
        </w:rPr>
        <w:t>"I think this approach with tables is genuinely strong. And beyond that, you get a clean overview, and you can drill into details if you want, without being forced into that level of detail the way a typical agent often over-explains everything [...] It feels like a finished product you can work with directly, without constantly having to work around it to get to what you actually need."</w:t>
      </w:r>
    </w:p>
    <w:p w14:paraId="2EF902C7" w14:textId="77777777" w:rsidR="00FD2952" w:rsidRDefault="00FD2952" w:rsidP="00FD2952">
      <w:pPr>
        <w:spacing w:before="200" w:after="80"/>
      </w:pPr>
      <w:r>
        <w:rPr>
          <w:b/>
          <w:bCs/>
        </w:rPr>
        <w:t>Code 1.3</w:t>
      </w:r>
    </w:p>
    <w:p w14:paraId="21EC665C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H: </w:t>
      </w:r>
      <w:r>
        <w:rPr>
          <w:i/>
          <w:iCs/>
        </w:rPr>
        <w:t>"One thing I'd still find valuable would be the ability to integrate additional data sources when needed, if they'd add real value. [...] That would be a nice addition for a final version though, being able to attach extractors so you could pull in other tools directly."</w:t>
      </w:r>
    </w:p>
    <w:p w14:paraId="051F97A4" w14:textId="77777777" w:rsidR="00FD2952" w:rsidRDefault="00FD2952" w:rsidP="00FD2952">
      <w:pPr>
        <w:pStyle w:val="Heading2"/>
        <w:spacing w:before="300" w:after="120"/>
      </w:pPr>
      <w:r>
        <w:t>Theme 2: Accuracy, Explainability, and Trust</w:t>
      </w:r>
    </w:p>
    <w:p w14:paraId="2809153E" w14:textId="73C50A7D" w:rsidR="00FD2952" w:rsidRDefault="00FD2952" w:rsidP="00FD2952">
      <w:pPr>
        <w:spacing w:after="160"/>
      </w:pPr>
      <w:r>
        <w:t>Maps to: Accuracy, explainability, and trust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5800"/>
      </w:tblGrid>
      <w:tr w:rsidR="00FD2952" w14:paraId="27D2A1C6" w14:textId="77777777" w:rsidTr="00562A0A">
        <w:tc>
          <w:tcPr>
            <w:tcW w:w="1000" w:type="dxa"/>
            <w:shd w:val="clear" w:color="auto" w:fill="D9D9D9"/>
          </w:tcPr>
          <w:p w14:paraId="7F80BADE" w14:textId="77777777" w:rsidR="00FD2952" w:rsidRDefault="00FD2952" w:rsidP="00562A0A">
            <w:r>
              <w:rPr>
                <w:b/>
                <w:bCs/>
              </w:rPr>
              <w:t>Code</w:t>
            </w:r>
          </w:p>
        </w:tc>
        <w:tc>
          <w:tcPr>
            <w:tcW w:w="2600" w:type="dxa"/>
            <w:shd w:val="clear" w:color="auto" w:fill="D9D9D9"/>
          </w:tcPr>
          <w:p w14:paraId="088DE491" w14:textId="77777777" w:rsidR="00FD2952" w:rsidRDefault="00FD2952" w:rsidP="00562A0A">
            <w:r>
              <w:rPr>
                <w:b/>
                <w:bCs/>
              </w:rPr>
              <w:t>Label</w:t>
            </w:r>
          </w:p>
        </w:tc>
        <w:tc>
          <w:tcPr>
            <w:tcW w:w="5800" w:type="dxa"/>
            <w:shd w:val="clear" w:color="auto" w:fill="D9D9D9"/>
          </w:tcPr>
          <w:p w14:paraId="4686435A" w14:textId="77777777" w:rsidR="00FD2952" w:rsidRDefault="00FD2952" w:rsidP="00562A0A">
            <w:r>
              <w:rPr>
                <w:b/>
                <w:bCs/>
              </w:rPr>
              <w:t>Description</w:t>
            </w:r>
          </w:p>
        </w:tc>
      </w:tr>
      <w:tr w:rsidR="00FD2952" w14:paraId="2422059D" w14:textId="77777777" w:rsidTr="00562A0A">
        <w:tc>
          <w:tcPr>
            <w:tcW w:w="1000" w:type="dxa"/>
          </w:tcPr>
          <w:p w14:paraId="5694E6BF" w14:textId="77777777" w:rsidR="00FD2952" w:rsidRDefault="00FD2952" w:rsidP="00562A0A">
            <w:r>
              <w:t>2.1</w:t>
            </w:r>
          </w:p>
        </w:tc>
        <w:tc>
          <w:tcPr>
            <w:tcW w:w="2600" w:type="dxa"/>
          </w:tcPr>
          <w:p w14:paraId="2965019C" w14:textId="77777777" w:rsidR="00FD2952" w:rsidRDefault="00FD2952" w:rsidP="00562A0A">
            <w:r>
              <w:t xml:space="preserve">Trust grounded in the verifiable data/model </w:t>
            </w:r>
            <w:r>
              <w:lastRenderedPageBreak/>
              <w:t>substrate rather than the coaching layer</w:t>
            </w:r>
          </w:p>
        </w:tc>
        <w:tc>
          <w:tcPr>
            <w:tcW w:w="5800" w:type="dxa"/>
          </w:tcPr>
          <w:p w14:paraId="22FB7772" w14:textId="77777777" w:rsidR="00FD2952" w:rsidRDefault="00FD2952" w:rsidP="00562A0A">
            <w:r>
              <w:lastRenderedPageBreak/>
              <w:t xml:space="preserve">Statements locating the primary source of trust in the underlying language model and the real, queryable data it </w:t>
            </w:r>
            <w:r>
              <w:lastRenderedPageBreak/>
              <w:t>draws on, rather than in the tacit-externalisation mechanism itself</w:t>
            </w:r>
          </w:p>
        </w:tc>
      </w:tr>
      <w:tr w:rsidR="00FD2952" w14:paraId="369D9154" w14:textId="77777777" w:rsidTr="00562A0A">
        <w:tc>
          <w:tcPr>
            <w:tcW w:w="1000" w:type="dxa"/>
          </w:tcPr>
          <w:p w14:paraId="483E3086" w14:textId="77777777" w:rsidR="00FD2952" w:rsidRDefault="00FD2952" w:rsidP="00562A0A">
            <w:r>
              <w:lastRenderedPageBreak/>
              <w:t>2.2</w:t>
            </w:r>
          </w:p>
        </w:tc>
        <w:tc>
          <w:tcPr>
            <w:tcW w:w="2600" w:type="dxa"/>
          </w:tcPr>
          <w:p w14:paraId="14D87261" w14:textId="77777777" w:rsidR="00FD2952" w:rsidRDefault="00FD2952" w:rsidP="00562A0A">
            <w:r>
              <w:t>Source-data quality as a bounding condition on trust</w:t>
            </w:r>
          </w:p>
        </w:tc>
        <w:tc>
          <w:tcPr>
            <w:tcW w:w="5800" w:type="dxa"/>
          </w:tcPr>
          <w:p w14:paraId="4EA8A3B7" w14:textId="77777777" w:rsidR="00FD2952" w:rsidRDefault="00FD2952" w:rsidP="00562A0A">
            <w:r>
              <w:t>Statements noting that outputs, particularly anomaly detection, are only as trustworthy as the underlying portfolio data, consistent with a general 'garbage in, garbage out' constraint on any AI system</w:t>
            </w:r>
          </w:p>
        </w:tc>
      </w:tr>
      <w:tr w:rsidR="00FD2952" w14:paraId="01543C2B" w14:textId="77777777" w:rsidTr="00562A0A">
        <w:tc>
          <w:tcPr>
            <w:tcW w:w="1000" w:type="dxa"/>
          </w:tcPr>
          <w:p w14:paraId="55DD01EE" w14:textId="77777777" w:rsidR="00FD2952" w:rsidRDefault="00FD2952" w:rsidP="00562A0A">
            <w:r>
              <w:t>2.3</w:t>
            </w:r>
          </w:p>
        </w:tc>
        <w:tc>
          <w:tcPr>
            <w:tcW w:w="2600" w:type="dxa"/>
          </w:tcPr>
          <w:p w14:paraId="1A9FED11" w14:textId="77777777" w:rsidR="00FD2952" w:rsidRDefault="00FD2952" w:rsidP="00562A0A">
            <w:r>
              <w:t>Explainability artefacts treated as optional, not decision-critical</w:t>
            </w:r>
          </w:p>
        </w:tc>
        <w:tc>
          <w:tcPr>
            <w:tcW w:w="5800" w:type="dxa"/>
          </w:tcPr>
          <w:p w14:paraId="04566458" w14:textId="77777777" w:rsidR="00FD2952" w:rsidRDefault="00FD2952" w:rsidP="00562A0A">
            <w:r>
              <w:t>Statements indicating that detailed reasoning traces are unlikely to be reviewed in practice, even though their availability is still considered worthwhile for other users</w:t>
            </w:r>
          </w:p>
        </w:tc>
      </w:tr>
    </w:tbl>
    <w:p w14:paraId="1794F9F1" w14:textId="77777777" w:rsidR="00FD2952" w:rsidRPr="0059129D" w:rsidRDefault="00FD2952" w:rsidP="00FD2952">
      <w:pPr>
        <w:spacing w:before="200" w:after="120"/>
        <w:rPr>
          <w:sz w:val="24"/>
          <w:szCs w:val="24"/>
        </w:rPr>
      </w:pPr>
      <w:r w:rsidRPr="0059129D">
        <w:rPr>
          <w:b/>
          <w:bCs/>
          <w:sz w:val="24"/>
          <w:szCs w:val="24"/>
        </w:rPr>
        <w:t>Evidence by Participant</w:t>
      </w:r>
    </w:p>
    <w:p w14:paraId="49454E7F" w14:textId="77777777" w:rsidR="00FD2952" w:rsidRDefault="00FD2952" w:rsidP="00FD2952">
      <w:pPr>
        <w:spacing w:before="200" w:after="80"/>
      </w:pPr>
      <w:r>
        <w:rPr>
          <w:b/>
          <w:bCs/>
        </w:rPr>
        <w:t>Code 2.1</w:t>
      </w:r>
    </w:p>
    <w:p w14:paraId="02E1291B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G: </w:t>
      </w:r>
      <w:r>
        <w:rPr>
          <w:i/>
          <w:iCs/>
        </w:rPr>
        <w:t>"I think trust comes more from the underlying model than the externalization, plus whatever additional context gets sent in. [...] I'd say the model itself accounts for maybe 70%, the context it reads in accounts for about 25%, and your externalizations make up just a few percent, a very small part of the whole."</w:t>
      </w:r>
    </w:p>
    <w:p w14:paraId="12F2AD34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H: </w:t>
      </w:r>
      <w:r>
        <w:rPr>
          <w:i/>
          <w:iCs/>
        </w:rPr>
        <w:t>"I think it's genuinely strong. For me, trust comes from having a solid, database-backed construct underneath it, where it has to work with real data it can't alter or invent. That's a major trust factor for me."</w:t>
      </w:r>
    </w:p>
    <w:p w14:paraId="02EB66CF" w14:textId="77777777" w:rsidR="00FD2952" w:rsidRDefault="00FD2952" w:rsidP="00FD2952">
      <w:pPr>
        <w:spacing w:before="200" w:after="80"/>
      </w:pPr>
      <w:r>
        <w:rPr>
          <w:b/>
          <w:bCs/>
        </w:rPr>
        <w:t>Code 2.2</w:t>
      </w:r>
    </w:p>
    <w:p w14:paraId="1BD3BF2F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H: </w:t>
      </w:r>
      <w:r>
        <w:rPr>
          <w:i/>
          <w:iCs/>
        </w:rPr>
        <w:t>"As for anomaly detection specifically, I think that kind of thing will also depend heavily on the quality of the source data. [...] that's just standard for any AI system: garbage in, garbage out. I think you have to be realistic about that, but you still have significant options here for controlling against it, more than I'd otherwise expect."</w:t>
      </w:r>
    </w:p>
    <w:p w14:paraId="255A3975" w14:textId="77777777" w:rsidR="00FD2952" w:rsidRDefault="00FD2952" w:rsidP="00FD2952">
      <w:pPr>
        <w:spacing w:before="200" w:after="80"/>
      </w:pPr>
      <w:r>
        <w:rPr>
          <w:b/>
          <w:bCs/>
        </w:rPr>
        <w:t>Code 2.3</w:t>
      </w:r>
    </w:p>
    <w:p w14:paraId="115AFDA5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G: </w:t>
      </w:r>
      <w:r>
        <w:rPr>
          <w:i/>
          <w:iCs/>
        </w:rPr>
        <w:t>"I don't think I'd actually look at that in practice. I don't always review everything an AI shows me about how it arrived at something. I don't think I would here either, but I'd definitely keep the feature available, since some people would want it."</w:t>
      </w:r>
    </w:p>
    <w:p w14:paraId="6AC168FF" w14:textId="77777777" w:rsidR="00FD2952" w:rsidRDefault="00FD2952" w:rsidP="00FD2952">
      <w:pPr>
        <w:pStyle w:val="Heading2"/>
        <w:spacing w:before="300" w:after="120"/>
      </w:pPr>
      <w:r>
        <w:t>Theme 3: Usefulness Relative to Current Practice</w:t>
      </w:r>
    </w:p>
    <w:p w14:paraId="18E5F879" w14:textId="69304D6D" w:rsidR="00FD2952" w:rsidRDefault="00FD2952" w:rsidP="00FD2952">
      <w:pPr>
        <w:spacing w:after="160"/>
      </w:pPr>
      <w:r>
        <w:t>Maps to: Usefulness relative to current practice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5800"/>
      </w:tblGrid>
      <w:tr w:rsidR="00FD2952" w14:paraId="389A5ADC" w14:textId="77777777" w:rsidTr="00562A0A">
        <w:tc>
          <w:tcPr>
            <w:tcW w:w="1000" w:type="dxa"/>
            <w:shd w:val="clear" w:color="auto" w:fill="D9D9D9"/>
          </w:tcPr>
          <w:p w14:paraId="4979FAC5" w14:textId="77777777" w:rsidR="00FD2952" w:rsidRDefault="00FD2952" w:rsidP="00562A0A">
            <w:r>
              <w:rPr>
                <w:b/>
                <w:bCs/>
              </w:rPr>
              <w:t>Code</w:t>
            </w:r>
          </w:p>
        </w:tc>
        <w:tc>
          <w:tcPr>
            <w:tcW w:w="2600" w:type="dxa"/>
            <w:shd w:val="clear" w:color="auto" w:fill="D9D9D9"/>
          </w:tcPr>
          <w:p w14:paraId="679635F9" w14:textId="77777777" w:rsidR="00FD2952" w:rsidRDefault="00FD2952" w:rsidP="00562A0A">
            <w:r>
              <w:rPr>
                <w:b/>
                <w:bCs/>
              </w:rPr>
              <w:t>Label</w:t>
            </w:r>
          </w:p>
        </w:tc>
        <w:tc>
          <w:tcPr>
            <w:tcW w:w="5800" w:type="dxa"/>
            <w:shd w:val="clear" w:color="auto" w:fill="D9D9D9"/>
          </w:tcPr>
          <w:p w14:paraId="08A18C91" w14:textId="77777777" w:rsidR="00FD2952" w:rsidRDefault="00FD2952" w:rsidP="00562A0A">
            <w:r>
              <w:rPr>
                <w:b/>
                <w:bCs/>
              </w:rPr>
              <w:t>Description</w:t>
            </w:r>
          </w:p>
        </w:tc>
      </w:tr>
      <w:tr w:rsidR="00FD2952" w14:paraId="309C24D3" w14:textId="77777777" w:rsidTr="00562A0A">
        <w:tc>
          <w:tcPr>
            <w:tcW w:w="1000" w:type="dxa"/>
          </w:tcPr>
          <w:p w14:paraId="149C8F01" w14:textId="77777777" w:rsidR="00FD2952" w:rsidRDefault="00FD2952" w:rsidP="00562A0A">
            <w:r>
              <w:t>3.1</w:t>
            </w:r>
          </w:p>
        </w:tc>
        <w:tc>
          <w:tcPr>
            <w:tcW w:w="2600" w:type="dxa"/>
          </w:tcPr>
          <w:p w14:paraId="5526CE1D" w14:textId="77777777" w:rsidR="00FD2952" w:rsidRDefault="00FD2952" w:rsidP="00562A0A">
            <w:r>
              <w:t>Concrete correspondence to existing manual governance work</w:t>
            </w:r>
          </w:p>
        </w:tc>
        <w:tc>
          <w:tcPr>
            <w:tcW w:w="5800" w:type="dxa"/>
          </w:tcPr>
          <w:p w14:paraId="4CBE0394" w14:textId="77777777" w:rsidR="00FD2952" w:rsidRDefault="00FD2952" w:rsidP="00562A0A">
            <w:r>
              <w:t>Statements directly comparing the demonstrated output to a specific, real governance task the participant had performed manually, with an estimate of the effort the tool would have saved</w:t>
            </w:r>
          </w:p>
        </w:tc>
      </w:tr>
      <w:tr w:rsidR="00FD2952" w14:paraId="6F1F7BDD" w14:textId="77777777" w:rsidTr="00562A0A">
        <w:tc>
          <w:tcPr>
            <w:tcW w:w="1000" w:type="dxa"/>
          </w:tcPr>
          <w:p w14:paraId="713D873E" w14:textId="77777777" w:rsidR="00FD2952" w:rsidRDefault="00FD2952" w:rsidP="00562A0A">
            <w:r>
              <w:t>3.2</w:t>
            </w:r>
          </w:p>
        </w:tc>
        <w:tc>
          <w:tcPr>
            <w:tcW w:w="2600" w:type="dxa"/>
          </w:tcPr>
          <w:p w14:paraId="607A587F" w14:textId="77777777" w:rsidR="00FD2952" w:rsidRDefault="00FD2952" w:rsidP="00562A0A">
            <w:r>
              <w:t>Demand-triage / pre-qualification use case</w:t>
            </w:r>
          </w:p>
        </w:tc>
        <w:tc>
          <w:tcPr>
            <w:tcW w:w="5800" w:type="dxa"/>
          </w:tcPr>
          <w:p w14:paraId="50A1ED75" w14:textId="77777777" w:rsidR="00FD2952" w:rsidRDefault="00FD2952" w:rsidP="00562A0A">
            <w:r>
              <w:t>Statements identifying a specific workflow position for the tool as a first-pass filter (e.g. ticket or demand triage) ahead of human review, rather than as a replacement for governance judgement</w:t>
            </w:r>
          </w:p>
        </w:tc>
      </w:tr>
      <w:tr w:rsidR="00FD2952" w14:paraId="7754B703" w14:textId="77777777" w:rsidTr="00562A0A">
        <w:tc>
          <w:tcPr>
            <w:tcW w:w="1000" w:type="dxa"/>
          </w:tcPr>
          <w:p w14:paraId="25DFCFBD" w14:textId="77777777" w:rsidR="00FD2952" w:rsidRDefault="00FD2952" w:rsidP="00562A0A">
            <w:r>
              <w:t>3.3</w:t>
            </w:r>
          </w:p>
        </w:tc>
        <w:tc>
          <w:tcPr>
            <w:tcW w:w="2600" w:type="dxa"/>
          </w:tcPr>
          <w:p w14:paraId="16314248" w14:textId="77777777" w:rsidR="00FD2952" w:rsidRDefault="00FD2952" w:rsidP="00562A0A">
            <w:r>
              <w:t>Preference for stateless, fresh-context interaction versus accumulated patches</w:t>
            </w:r>
          </w:p>
        </w:tc>
        <w:tc>
          <w:tcPr>
            <w:tcW w:w="5800" w:type="dxa"/>
          </w:tcPr>
          <w:p w14:paraId="7AC8759B" w14:textId="77777777" w:rsidR="00FD2952" w:rsidRDefault="00FD2952" w:rsidP="00562A0A">
            <w:r>
              <w:t>Statements expressing a preference for clearing conversational context between topics, in tension with the framework's design of persisting externalised patches across sessions</w:t>
            </w:r>
          </w:p>
        </w:tc>
      </w:tr>
    </w:tbl>
    <w:p w14:paraId="07FDEA1A" w14:textId="77777777" w:rsidR="00FD2952" w:rsidRPr="0059129D" w:rsidRDefault="00FD2952" w:rsidP="00FD2952">
      <w:pPr>
        <w:spacing w:before="200" w:after="120"/>
        <w:rPr>
          <w:sz w:val="24"/>
          <w:szCs w:val="24"/>
        </w:rPr>
      </w:pPr>
      <w:r w:rsidRPr="0059129D">
        <w:rPr>
          <w:b/>
          <w:bCs/>
          <w:sz w:val="24"/>
          <w:szCs w:val="24"/>
        </w:rPr>
        <w:t>Evidence by Participant</w:t>
      </w:r>
    </w:p>
    <w:p w14:paraId="330A8C3C" w14:textId="77777777" w:rsidR="00FD2952" w:rsidRDefault="00FD2952" w:rsidP="00FD2952">
      <w:pPr>
        <w:spacing w:before="200" w:after="80"/>
      </w:pPr>
      <w:r>
        <w:rPr>
          <w:b/>
          <w:bCs/>
        </w:rPr>
        <w:t>Code 3.1</w:t>
      </w:r>
    </w:p>
    <w:p w14:paraId="36B2BAC1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lastRenderedPageBreak/>
        <w:t xml:space="preserve">Participant H: </w:t>
      </w:r>
      <w:r>
        <w:rPr>
          <w:i/>
          <w:iCs/>
        </w:rPr>
        <w:t>"Funny you ask, because what you just showed me is almost exactly what we spent a year and a half assembling manually for the CKW migration, the application list for CKW. This would have been a perfect fit [...] That's literally what happened to me this week: I discovered on my own that a lot of what was in there was wrong, and had to run the anomaly checks manually myself, which took a lot of time, at least two full days that week. With this tool I think I'd have been done in minutes."</w:t>
      </w:r>
    </w:p>
    <w:p w14:paraId="01B3599B" w14:textId="77777777" w:rsidR="00FD2952" w:rsidRDefault="00FD2952" w:rsidP="00FD2952">
      <w:pPr>
        <w:spacing w:before="200" w:after="80"/>
      </w:pPr>
      <w:r>
        <w:rPr>
          <w:b/>
          <w:bCs/>
        </w:rPr>
        <w:t>Code 3.2</w:t>
      </w:r>
    </w:p>
    <w:p w14:paraId="58813A77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H: </w:t>
      </w:r>
      <w:r>
        <w:rPr>
          <w:i/>
          <w:iCs/>
        </w:rPr>
        <w:t>"And especially if you imagine having several domain agents set up, using something like this to help verify other tickets, whether something's actually needed or not, I could see that working really well [...] That's almost more of a demand-triage function. I think it could save a substantial amount of work time there too."</w:t>
      </w:r>
    </w:p>
    <w:p w14:paraId="70ACD90C" w14:textId="77777777" w:rsidR="00FD2952" w:rsidRDefault="00FD2952" w:rsidP="00FD2952">
      <w:pPr>
        <w:spacing w:before="200" w:after="80"/>
      </w:pPr>
      <w:r>
        <w:rPr>
          <w:b/>
          <w:bCs/>
        </w:rPr>
        <w:t>Code 3.3</w:t>
      </w:r>
    </w:p>
    <w:p w14:paraId="320F8ED5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G: </w:t>
      </w:r>
      <w:r>
        <w:rPr>
          <w:i/>
          <w:iCs/>
        </w:rPr>
        <w:t>"I'm not sure I'd trust the patches you generate there as much. I'd probably rather send things fresh each time. What I often do is clear the chat entirely. When I talk to an LLM, I keep clearing it, because I've noticed that if I forget to, old context gets pulled in and can throw you completely off track, on top of the added cost."</w:t>
      </w:r>
    </w:p>
    <w:p w14:paraId="19E74365" w14:textId="77777777" w:rsidR="00FD2952" w:rsidRDefault="00FD2952" w:rsidP="00FD2952">
      <w:pPr>
        <w:pStyle w:val="Heading2"/>
        <w:spacing w:before="300" w:after="120"/>
      </w:pPr>
      <w:r>
        <w:t>Theme 4: Knowledge Externalisation</w:t>
      </w:r>
    </w:p>
    <w:p w14:paraId="58112E24" w14:textId="7D173DB7" w:rsidR="00FD2952" w:rsidRDefault="00FD2952" w:rsidP="00FD2952">
      <w:pPr>
        <w:spacing w:after="160"/>
      </w:pPr>
      <w:r>
        <w:t>Maps to: Knowledge externalisation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5800"/>
      </w:tblGrid>
      <w:tr w:rsidR="00FD2952" w14:paraId="08916B9B" w14:textId="77777777" w:rsidTr="00562A0A">
        <w:tc>
          <w:tcPr>
            <w:tcW w:w="1000" w:type="dxa"/>
            <w:shd w:val="clear" w:color="auto" w:fill="D9D9D9"/>
          </w:tcPr>
          <w:p w14:paraId="2623FA9D" w14:textId="77777777" w:rsidR="00FD2952" w:rsidRDefault="00FD2952" w:rsidP="00562A0A">
            <w:r>
              <w:rPr>
                <w:b/>
                <w:bCs/>
              </w:rPr>
              <w:t>Code</w:t>
            </w:r>
          </w:p>
        </w:tc>
        <w:tc>
          <w:tcPr>
            <w:tcW w:w="2600" w:type="dxa"/>
            <w:shd w:val="clear" w:color="auto" w:fill="D9D9D9"/>
          </w:tcPr>
          <w:p w14:paraId="4D522337" w14:textId="77777777" w:rsidR="00FD2952" w:rsidRDefault="00FD2952" w:rsidP="00562A0A">
            <w:r>
              <w:rPr>
                <w:b/>
                <w:bCs/>
              </w:rPr>
              <w:t>Label</w:t>
            </w:r>
          </w:p>
        </w:tc>
        <w:tc>
          <w:tcPr>
            <w:tcW w:w="5800" w:type="dxa"/>
            <w:shd w:val="clear" w:color="auto" w:fill="D9D9D9"/>
          </w:tcPr>
          <w:p w14:paraId="631DC813" w14:textId="77777777" w:rsidR="00FD2952" w:rsidRDefault="00FD2952" w:rsidP="00562A0A">
            <w:r>
              <w:rPr>
                <w:b/>
                <w:bCs/>
              </w:rPr>
              <w:t>Description</w:t>
            </w:r>
          </w:p>
        </w:tc>
      </w:tr>
      <w:tr w:rsidR="00FD2952" w14:paraId="749F1FD6" w14:textId="77777777" w:rsidTr="00562A0A">
        <w:tc>
          <w:tcPr>
            <w:tcW w:w="1000" w:type="dxa"/>
          </w:tcPr>
          <w:p w14:paraId="4DD9BF99" w14:textId="77777777" w:rsidR="00FD2952" w:rsidRDefault="00FD2952" w:rsidP="00562A0A">
            <w:r>
              <w:t>4.1</w:t>
            </w:r>
          </w:p>
        </w:tc>
        <w:tc>
          <w:tcPr>
            <w:tcW w:w="2600" w:type="dxa"/>
          </w:tcPr>
          <w:p w14:paraId="35982374" w14:textId="77777777" w:rsidR="00FD2952" w:rsidRDefault="00FD2952" w:rsidP="00562A0A">
            <w:r>
              <w:t>Perceived value and durability of externalised knowledge</w:t>
            </w:r>
          </w:p>
        </w:tc>
        <w:tc>
          <w:tcPr>
            <w:tcW w:w="5800" w:type="dxa"/>
          </w:tcPr>
          <w:p w14:paraId="2894EEEF" w14:textId="77777777" w:rsidR="00FD2952" w:rsidRDefault="00FD2952" w:rsidP="00562A0A">
            <w:r>
              <w:t>Statements affirming that capturing undocumented practitioner knowledge so that it persists across future sessions addresses a genuine, recognised gap in current practice</w:t>
            </w:r>
          </w:p>
        </w:tc>
      </w:tr>
      <w:tr w:rsidR="00FD2952" w14:paraId="5BFF8851" w14:textId="77777777" w:rsidTr="00562A0A">
        <w:tc>
          <w:tcPr>
            <w:tcW w:w="1000" w:type="dxa"/>
          </w:tcPr>
          <w:p w14:paraId="17954CDB" w14:textId="77777777" w:rsidR="00FD2952" w:rsidRDefault="00FD2952" w:rsidP="00562A0A">
            <w:r>
              <w:t>4.2</w:t>
            </w:r>
          </w:p>
        </w:tc>
        <w:tc>
          <w:tcPr>
            <w:tcW w:w="2600" w:type="dxa"/>
          </w:tcPr>
          <w:p w14:paraId="55B227A1" w14:textId="77777777" w:rsidR="00FD2952" w:rsidRDefault="00FD2952" w:rsidP="00562A0A">
            <w:r>
              <w:t>Externalisation as a minor, non-authoritative signal rather than a trust driver</w:t>
            </w:r>
          </w:p>
        </w:tc>
        <w:tc>
          <w:tcPr>
            <w:tcW w:w="5800" w:type="dxa"/>
          </w:tcPr>
          <w:p w14:paraId="2EA71C90" w14:textId="77777777" w:rsidR="00FD2952" w:rsidRDefault="00FD2952" w:rsidP="00562A0A">
            <w:r>
              <w:t>Statements characterising the externalised patches as a supplementary 'hint' rather than something that materially increases confidence in the system's answers</w:t>
            </w:r>
          </w:p>
        </w:tc>
      </w:tr>
      <w:tr w:rsidR="00FD2952" w14:paraId="69E17F96" w14:textId="77777777" w:rsidTr="00562A0A">
        <w:tc>
          <w:tcPr>
            <w:tcW w:w="1000" w:type="dxa"/>
          </w:tcPr>
          <w:p w14:paraId="751D7A9E" w14:textId="77777777" w:rsidR="00FD2952" w:rsidRDefault="00FD2952" w:rsidP="00562A0A">
            <w:r>
              <w:t>4.3</w:t>
            </w:r>
          </w:p>
        </w:tc>
        <w:tc>
          <w:tcPr>
            <w:tcW w:w="2600" w:type="dxa"/>
          </w:tcPr>
          <w:p w14:paraId="06F5EE85" w14:textId="77777777" w:rsidR="00FD2952" w:rsidRDefault="00FD2952" w:rsidP="00562A0A">
            <w:r>
              <w:t>Extending externalisation beyond the prompt into documented organisational knowledge</w:t>
            </w:r>
          </w:p>
        </w:tc>
        <w:tc>
          <w:tcPr>
            <w:tcW w:w="5800" w:type="dxa"/>
          </w:tcPr>
          <w:p w14:paraId="23CC262E" w14:textId="77777777" w:rsidR="00FD2952" w:rsidRDefault="00FD2952" w:rsidP="00562A0A">
            <w:r>
              <w:t>Statements proposing that externalised knowledge should ultimately feed back into a shared, documented knowledge base rather than remaining confined to an individual agent's system prompt</w:t>
            </w:r>
          </w:p>
        </w:tc>
      </w:tr>
    </w:tbl>
    <w:p w14:paraId="0AE88545" w14:textId="77777777" w:rsidR="00FD2952" w:rsidRPr="0059129D" w:rsidRDefault="00FD2952" w:rsidP="00FD2952">
      <w:pPr>
        <w:spacing w:before="200" w:after="120"/>
        <w:rPr>
          <w:sz w:val="24"/>
          <w:szCs w:val="24"/>
        </w:rPr>
      </w:pPr>
      <w:r w:rsidRPr="0059129D">
        <w:rPr>
          <w:b/>
          <w:bCs/>
          <w:sz w:val="24"/>
          <w:szCs w:val="24"/>
        </w:rPr>
        <w:t>Evidence by Participant</w:t>
      </w:r>
    </w:p>
    <w:p w14:paraId="154D7180" w14:textId="77777777" w:rsidR="00FD2952" w:rsidRDefault="00FD2952" w:rsidP="00FD2952">
      <w:pPr>
        <w:spacing w:before="200" w:after="80"/>
      </w:pPr>
      <w:r>
        <w:rPr>
          <w:b/>
          <w:bCs/>
        </w:rPr>
        <w:t>Code 4.1</w:t>
      </w:r>
    </w:p>
    <w:p w14:paraId="5707EF46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H: </w:t>
      </w:r>
      <w:r>
        <w:rPr>
          <w:i/>
          <w:iCs/>
        </w:rPr>
        <w:t>"Basically, yes, I think it's genuinely valuable, because it's exactly what's usually missing, and having it stay stable across future sessions matters a lot. [...] we all carry a huge amount of knowledge in our heads that never gets written down anywhere. I see that constantly at Axpo."</w:t>
      </w:r>
    </w:p>
    <w:p w14:paraId="66733DF9" w14:textId="77777777" w:rsidR="00FD2952" w:rsidRDefault="00FD2952" w:rsidP="00FD2952">
      <w:pPr>
        <w:spacing w:before="200" w:after="80"/>
      </w:pPr>
      <w:r>
        <w:rPr>
          <w:b/>
          <w:bCs/>
        </w:rPr>
        <w:t>Code 4.2</w:t>
      </w:r>
    </w:p>
    <w:p w14:paraId="6E1D68B9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t xml:space="preserve">Participant G: </w:t>
      </w:r>
      <w:r>
        <w:rPr>
          <w:i/>
          <w:iCs/>
        </w:rPr>
        <w:t>"With AI specifically, maybe with anything really, but especially with AI, it feels more like a tip, a hint, and you don't fully trust it. I don't think trust in the actual answer increases much just by adding a few externalizations, because the core answer doesn't really come from the externalization, it comes from the model itself. [...] From my perspective it's really more of a hint for EA at this point, not something you can fully rely on, depending on the topic."</w:t>
      </w:r>
    </w:p>
    <w:p w14:paraId="7947774A" w14:textId="77777777" w:rsidR="00FD2952" w:rsidRDefault="00FD2952" w:rsidP="00FD2952">
      <w:pPr>
        <w:spacing w:before="200" w:after="80"/>
      </w:pPr>
      <w:r>
        <w:rPr>
          <w:b/>
          <w:bCs/>
        </w:rPr>
        <w:t>Code 4.3</w:t>
      </w:r>
    </w:p>
    <w:p w14:paraId="45B85C46" w14:textId="77777777" w:rsidR="00FD2952" w:rsidRDefault="00FD2952" w:rsidP="00FD2952">
      <w:pPr>
        <w:spacing w:after="120"/>
      </w:pPr>
      <w:r>
        <w:rPr>
          <w:b/>
          <w:bCs/>
          <w:i/>
          <w:iCs/>
        </w:rPr>
        <w:lastRenderedPageBreak/>
        <w:t xml:space="preserve">Participant H: </w:t>
      </w:r>
      <w:r>
        <w:rPr>
          <w:i/>
          <w:iCs/>
        </w:rPr>
        <w:t>"What I also believe, especially when you get into the EA-coaching angle, is that we all carry a huge amount of knowledge in our heads that never gets written down anywhere. [...] If we could extract that, and not just keep it in the prompt but eventually feed it back into the broader knowledge base as a next step, that would be a massive added value in the end."</w:t>
      </w:r>
    </w:p>
    <w:p w14:paraId="52C9D4FF" w14:textId="77777777" w:rsidR="00FD2952" w:rsidRPr="00FD2952" w:rsidRDefault="00FD2952" w:rsidP="00F512F2">
      <w:pPr>
        <w:spacing w:after="100"/>
      </w:pPr>
    </w:p>
    <w:sectPr w:rsidR="00FD2952" w:rsidRPr="00FD29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3515C"/>
    <w:multiLevelType w:val="hybridMultilevel"/>
    <w:tmpl w:val="5664CC14"/>
    <w:lvl w:ilvl="0" w:tplc="B3846ED4">
      <w:start w:val="1"/>
      <w:numFmt w:val="bullet"/>
      <w:lvlText w:val="●"/>
      <w:lvlJc w:val="left"/>
      <w:pPr>
        <w:ind w:left="720" w:hanging="360"/>
      </w:pPr>
    </w:lvl>
    <w:lvl w:ilvl="1" w:tplc="552CD466">
      <w:start w:val="1"/>
      <w:numFmt w:val="bullet"/>
      <w:lvlText w:val="○"/>
      <w:lvlJc w:val="left"/>
      <w:pPr>
        <w:ind w:left="1440" w:hanging="360"/>
      </w:pPr>
    </w:lvl>
    <w:lvl w:ilvl="2" w:tplc="F27E9210">
      <w:start w:val="1"/>
      <w:numFmt w:val="bullet"/>
      <w:lvlText w:val="■"/>
      <w:lvlJc w:val="left"/>
      <w:pPr>
        <w:ind w:left="2160" w:hanging="360"/>
      </w:pPr>
    </w:lvl>
    <w:lvl w:ilvl="3" w:tplc="15EA34BA">
      <w:start w:val="1"/>
      <w:numFmt w:val="bullet"/>
      <w:lvlText w:val="●"/>
      <w:lvlJc w:val="left"/>
      <w:pPr>
        <w:ind w:left="2880" w:hanging="360"/>
      </w:pPr>
    </w:lvl>
    <w:lvl w:ilvl="4" w:tplc="47F4C2E6">
      <w:start w:val="1"/>
      <w:numFmt w:val="bullet"/>
      <w:lvlText w:val="○"/>
      <w:lvlJc w:val="left"/>
      <w:pPr>
        <w:ind w:left="3600" w:hanging="360"/>
      </w:pPr>
    </w:lvl>
    <w:lvl w:ilvl="5" w:tplc="63CCF2CA">
      <w:start w:val="1"/>
      <w:numFmt w:val="bullet"/>
      <w:lvlText w:val="■"/>
      <w:lvlJc w:val="left"/>
      <w:pPr>
        <w:ind w:left="4320" w:hanging="360"/>
      </w:pPr>
    </w:lvl>
    <w:lvl w:ilvl="6" w:tplc="C4A6C34E">
      <w:start w:val="1"/>
      <w:numFmt w:val="bullet"/>
      <w:lvlText w:val="●"/>
      <w:lvlJc w:val="left"/>
      <w:pPr>
        <w:ind w:left="5040" w:hanging="360"/>
      </w:pPr>
    </w:lvl>
    <w:lvl w:ilvl="7" w:tplc="FA6214DC">
      <w:start w:val="1"/>
      <w:numFmt w:val="bullet"/>
      <w:lvlText w:val="●"/>
      <w:lvlJc w:val="left"/>
      <w:pPr>
        <w:ind w:left="5760" w:hanging="360"/>
      </w:pPr>
    </w:lvl>
    <w:lvl w:ilvl="8" w:tplc="90EC15B2">
      <w:start w:val="1"/>
      <w:numFmt w:val="bullet"/>
      <w:lvlText w:val="●"/>
      <w:lvlJc w:val="left"/>
      <w:pPr>
        <w:ind w:left="6480" w:hanging="360"/>
      </w:pPr>
    </w:lvl>
  </w:abstractNum>
  <w:num w:numId="1" w16cid:durableId="2044745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98"/>
    <w:rsid w:val="000149BD"/>
    <w:rsid w:val="000A1BD9"/>
    <w:rsid w:val="000B781C"/>
    <w:rsid w:val="001553FE"/>
    <w:rsid w:val="001D45BF"/>
    <w:rsid w:val="001E5E58"/>
    <w:rsid w:val="00203CD0"/>
    <w:rsid w:val="002322E7"/>
    <w:rsid w:val="002D6AD8"/>
    <w:rsid w:val="002F7F74"/>
    <w:rsid w:val="00324BF7"/>
    <w:rsid w:val="00356C0B"/>
    <w:rsid w:val="00376EBD"/>
    <w:rsid w:val="003B1C86"/>
    <w:rsid w:val="003C563B"/>
    <w:rsid w:val="003E6C98"/>
    <w:rsid w:val="004070C3"/>
    <w:rsid w:val="004435D3"/>
    <w:rsid w:val="00446D61"/>
    <w:rsid w:val="00446F57"/>
    <w:rsid w:val="0049370F"/>
    <w:rsid w:val="00541BB3"/>
    <w:rsid w:val="00545418"/>
    <w:rsid w:val="00550216"/>
    <w:rsid w:val="00563F1B"/>
    <w:rsid w:val="0058076D"/>
    <w:rsid w:val="00581093"/>
    <w:rsid w:val="0059129D"/>
    <w:rsid w:val="00594E0E"/>
    <w:rsid w:val="005C4D09"/>
    <w:rsid w:val="005F00A9"/>
    <w:rsid w:val="005F0558"/>
    <w:rsid w:val="00605B5C"/>
    <w:rsid w:val="00627CC0"/>
    <w:rsid w:val="00703E7C"/>
    <w:rsid w:val="0072341C"/>
    <w:rsid w:val="00741520"/>
    <w:rsid w:val="00752245"/>
    <w:rsid w:val="00773C78"/>
    <w:rsid w:val="00792EBA"/>
    <w:rsid w:val="007C4563"/>
    <w:rsid w:val="007D2680"/>
    <w:rsid w:val="007E0035"/>
    <w:rsid w:val="007F1119"/>
    <w:rsid w:val="008217C5"/>
    <w:rsid w:val="008548C3"/>
    <w:rsid w:val="0088790E"/>
    <w:rsid w:val="008C34BD"/>
    <w:rsid w:val="008D384F"/>
    <w:rsid w:val="00953D3E"/>
    <w:rsid w:val="00986244"/>
    <w:rsid w:val="009D503E"/>
    <w:rsid w:val="009D783F"/>
    <w:rsid w:val="00A20E38"/>
    <w:rsid w:val="00A8636C"/>
    <w:rsid w:val="00B540F0"/>
    <w:rsid w:val="00B56FB4"/>
    <w:rsid w:val="00B742FB"/>
    <w:rsid w:val="00BD6CC1"/>
    <w:rsid w:val="00C02EC1"/>
    <w:rsid w:val="00C17C05"/>
    <w:rsid w:val="00C43ADD"/>
    <w:rsid w:val="00CE308A"/>
    <w:rsid w:val="00D737E0"/>
    <w:rsid w:val="00DC5DE6"/>
    <w:rsid w:val="00E25DEB"/>
    <w:rsid w:val="00E6332F"/>
    <w:rsid w:val="00F512F2"/>
    <w:rsid w:val="00F70011"/>
    <w:rsid w:val="00FA1D37"/>
    <w:rsid w:val="00FC6668"/>
    <w:rsid w:val="00FC7654"/>
    <w:rsid w:val="00FD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99C693"/>
  <w15:docId w15:val="{51C75B4E-2E92-4C19-9F7B-F25FF3A3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C5D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5D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5D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5D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5D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1269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Medig</cp:lastModifiedBy>
  <cp:revision>65</cp:revision>
  <dcterms:created xsi:type="dcterms:W3CDTF">2026-05-18T10:51:00Z</dcterms:created>
  <dcterms:modified xsi:type="dcterms:W3CDTF">2026-07-19T09:59:00Z</dcterms:modified>
</cp:coreProperties>
</file>