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077172" w14:textId="5F06D0D9" w:rsidR="002F1208" w:rsidRPr="005D0A04" w:rsidRDefault="009E28BE" w:rsidP="00750FBA">
      <w:pPr>
        <w:pStyle w:val="Title"/>
        <w:rPr>
          <w:lang w:val="en-US"/>
        </w:rPr>
      </w:pPr>
      <w:r>
        <w:rPr>
          <w:lang w:val="en-US"/>
        </w:rPr>
        <w:t>Principle Components PoC</w:t>
      </w:r>
    </w:p>
    <w:p w14:paraId="50E40018" w14:textId="633ABD05" w:rsidR="005D0A04" w:rsidRDefault="005D0A04" w:rsidP="005D0A04">
      <w:pPr>
        <w:pStyle w:val="Heading2"/>
      </w:pPr>
      <w:r>
        <w:t xml:space="preserve">Appendix describing the </w:t>
      </w:r>
      <w:r w:rsidR="009E28BE">
        <w:t>technical components of the PoC</w:t>
      </w:r>
    </w:p>
    <w:p w14:paraId="0DDE5C99" w14:textId="77777777" w:rsidR="009E28BE" w:rsidRDefault="009E28BE" w:rsidP="009E28BE"/>
    <w:p w14:paraId="26930677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r>
        <w:t>config.py: Contains application-wide configuration, including agent roles, interaction modes, storage paths, reflection settings, version information and the initial system prompts.</w:t>
      </w:r>
    </w:p>
    <w:p w14:paraId="716BD580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proofErr w:type="spellStart"/>
      <w:r>
        <w:t>teaf</w:t>
      </w:r>
      <w:proofErr w:type="spellEnd"/>
      <w:r>
        <w:t>/agents/: Implements the two-agent architecture. The Coaching Agent manages practitioner interaction, mode selection and delegation decisions, while the Domain Agent performs background governance analysis using the available evidence.</w:t>
      </w:r>
    </w:p>
    <w:p w14:paraId="50EA7A46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proofErr w:type="spellStart"/>
      <w:r>
        <w:t>teaf</w:t>
      </w:r>
      <w:proofErr w:type="spellEnd"/>
      <w:r>
        <w:t>/orchestration.py: Coordinates the interaction workflow. It receives practitioner input, invokes the Coaching Agent, calls the Domain Agent when required, returns the final response and initiates reflection according to the configured triggers.</w:t>
      </w:r>
    </w:p>
    <w:p w14:paraId="4E61A320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proofErr w:type="spellStart"/>
      <w:r>
        <w:t>teaf</w:t>
      </w:r>
      <w:proofErr w:type="spellEnd"/>
      <w:r>
        <w:t>/</w:t>
      </w:r>
      <w:proofErr w:type="spellStart"/>
      <w:r>
        <w:t>explicit_channels</w:t>
      </w:r>
      <w:proofErr w:type="spellEnd"/>
      <w:r>
        <w:t>/: Implements the explicit knowledge channels. rag.py manages document ingestion, embedding and retrieval, while anomaly.py provides portfolio normalisation, read-only SQL access, rule-based checks and Isolation Forest anomaly detection.</w:t>
      </w:r>
    </w:p>
    <w:p w14:paraId="12BBD859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proofErr w:type="spellStart"/>
      <w:r>
        <w:t>teaf</w:t>
      </w:r>
      <w:proofErr w:type="spellEnd"/>
      <w:r>
        <w:t>/reflection.py: Implements the tacit-knowledge externalisation process. It analyses completed interactions, generates candidate prompt additions and supports the consolidation of overlapping reflection patches.</w:t>
      </w:r>
    </w:p>
    <w:p w14:paraId="4B677A04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proofErr w:type="spellStart"/>
      <w:r>
        <w:t>teaf</w:t>
      </w:r>
      <w:proofErr w:type="spellEnd"/>
      <w:r>
        <w:t>/store.py: Provides the application’s persistence layer. It manages the SQLite schema and stores models, agent configurations, conversations, process traces, settings and externalisation patches.</w:t>
      </w:r>
    </w:p>
    <w:p w14:paraId="5BC0C152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r>
        <w:t xml:space="preserve">teaf/llm.py and </w:t>
      </w:r>
      <w:proofErr w:type="spellStart"/>
      <w:r>
        <w:t>teaf</w:t>
      </w:r>
      <w:proofErr w:type="spellEnd"/>
      <w:r>
        <w:t>/models.py: Provide model-management and provider-abstraction functionality, allowing the application to use supported OpenAI or Anthropic models without embedding provider-specific logic throughout the system.</w:t>
      </w:r>
    </w:p>
    <w:p w14:paraId="0CC546C7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proofErr w:type="spellStart"/>
      <w:r>
        <w:lastRenderedPageBreak/>
        <w:t>ui</w:t>
      </w:r>
      <w:proofErr w:type="spellEnd"/>
      <w:r>
        <w:t>/: Contains the Streamlit user-interface components, including the coaching conversation, data-source management, model and agent configuration, interaction-trigger settings, and human review of tacit externalisations.</w:t>
      </w:r>
    </w:p>
    <w:p w14:paraId="0738E78F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r>
        <w:t>data/: Contains the persistent vector store, portfolio datasets, uploaded source documents and generated externalisation records. Chroma is used for vector persistence, while SQLite stores structured application state.</w:t>
      </w:r>
    </w:p>
    <w:p w14:paraId="2D181352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r>
        <w:t>tests/: Contains automated tests for orchestration, document retrieval, reflection and anomaly-detection behaviour.</w:t>
      </w:r>
    </w:p>
    <w:p w14:paraId="0FA9F760" w14:textId="77777777" w:rsidR="009E28BE" w:rsidRDefault="009E28BE" w:rsidP="009E28BE">
      <w:pPr>
        <w:pStyle w:val="ListParagraph"/>
        <w:numPr>
          <w:ilvl w:val="0"/>
          <w:numId w:val="6"/>
        </w:numPr>
        <w:spacing w:after="0" w:line="480" w:lineRule="auto"/>
      </w:pPr>
      <w:r>
        <w:t>app.py: Acts as the application entry point. It initialises the persistent storage, configures the Streamlit interface and connects the principal application pages.</w:t>
      </w:r>
    </w:p>
    <w:p w14:paraId="6AD914BF" w14:textId="77777777" w:rsidR="00750FBA" w:rsidRPr="00750FBA" w:rsidRDefault="00750FBA" w:rsidP="00750FBA"/>
    <w:sectPr w:rsidR="00750FBA" w:rsidRPr="00750F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B072FD"/>
    <w:multiLevelType w:val="hybridMultilevel"/>
    <w:tmpl w:val="6206EE0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B3EEC"/>
    <w:multiLevelType w:val="hybridMultilevel"/>
    <w:tmpl w:val="65C2287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660B3"/>
    <w:multiLevelType w:val="hybridMultilevel"/>
    <w:tmpl w:val="0F349D9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317272"/>
    <w:multiLevelType w:val="hybridMultilevel"/>
    <w:tmpl w:val="94CCFAB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FD49F0"/>
    <w:multiLevelType w:val="hybridMultilevel"/>
    <w:tmpl w:val="8ACAF1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985EED"/>
    <w:multiLevelType w:val="hybridMultilevel"/>
    <w:tmpl w:val="ED76646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043448">
    <w:abstractNumId w:val="5"/>
  </w:num>
  <w:num w:numId="2" w16cid:durableId="235014065">
    <w:abstractNumId w:val="4"/>
  </w:num>
  <w:num w:numId="3" w16cid:durableId="1380931847">
    <w:abstractNumId w:val="2"/>
  </w:num>
  <w:num w:numId="4" w16cid:durableId="2048408157">
    <w:abstractNumId w:val="3"/>
  </w:num>
  <w:num w:numId="5" w16cid:durableId="346098722">
    <w:abstractNumId w:val="0"/>
  </w:num>
  <w:num w:numId="6" w16cid:durableId="9369053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BA"/>
    <w:rsid w:val="002E4A8D"/>
    <w:rsid w:val="002F1208"/>
    <w:rsid w:val="00397A9C"/>
    <w:rsid w:val="00412C10"/>
    <w:rsid w:val="005D0A04"/>
    <w:rsid w:val="00750FBA"/>
    <w:rsid w:val="007A445A"/>
    <w:rsid w:val="009E28BE"/>
    <w:rsid w:val="00FC2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FC10AF"/>
  <w15:chartTrackingRefBased/>
  <w15:docId w15:val="{3E332F0B-BCB4-41DB-A119-FBC68BB66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0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0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F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F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FB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750FB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FBA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FBA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FBA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FB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FB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FB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FB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750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FB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FB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50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FB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qFormat/>
    <w:rsid w:val="00750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F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F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FBA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750F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355</Words>
  <Characters>2026</Characters>
  <Application>Microsoft Office Word</Application>
  <DocSecurity>0</DocSecurity>
  <Lines>16</Lines>
  <Paragraphs>4</Paragraphs>
  <ScaleCrop>false</ScaleCrop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Medig</dc:creator>
  <cp:keywords/>
  <dc:description/>
  <cp:lastModifiedBy>Elias Medig</cp:lastModifiedBy>
  <cp:revision>5</cp:revision>
  <dcterms:created xsi:type="dcterms:W3CDTF">2026-07-26T13:10:00Z</dcterms:created>
  <dcterms:modified xsi:type="dcterms:W3CDTF">2026-08-08T13:22:00Z</dcterms:modified>
</cp:coreProperties>
</file>