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David" w:cs="David" w:eastAsia="David" w:hAnsi="David"/>
          <w:b/>
          <w:bCs/>
          <w:color w:val="1a3c5e"/>
          <w:sz w:val="52"/>
          <w:szCs w:val="52"/>
          <w:rtl/>
        </w:rPr>
        <w:t xml:space="preserve">מסמך מחקר אסטרטגי</w:t>
      </w:r>
    </w:p>
    <w:p>
      <w:pPr>
        <w:spacing w:after="100"/>
        <w:jc w:val="center"/>
      </w:pPr>
      <w:r>
        <w:rPr>
          <w:rFonts w:ascii="Calibri" w:cs="Calibri" w:eastAsia="Calibri" w:hAnsi="Calibri"/>
          <w:color w:val="2a5c8e"/>
          <w:sz w:val="40"/>
          <w:szCs w:val="40"/>
        </w:rPr>
        <w:t xml:space="preserve">PayMe — Embedded Finance Ecosystem</w:t>
      </w:r>
    </w:p>
    <w:p>
      <w:pPr>
        <w:spacing w:after="400"/>
        <w:jc w:val="center"/>
      </w:pPr>
      <w:r>
        <w:rPr>
          <w:rFonts w:ascii="David" w:cs="David" w:eastAsia="David" w:hAnsi="David"/>
          <w:color w:val="555555"/>
          <w:sz w:val="26"/>
          <w:szCs w:val="26"/>
          <w:rtl/>
        </w:rPr>
        <w:t xml:space="preserve">מיפוי שוק, ניתוח מוצרים, פרופיל לקוחות ואסטרטגיית שותפויות</w:t>
      </w:r>
    </w:p>
    <w:p>
      <w:pPr>
        <w:pBdr>
          <w:top w:val="single" w:color="1a3c5e" w:sz="2"/>
        </w:pBdr>
        <w:spacing w:after="100"/>
        <w:jc w:val="center"/>
      </w:pPr>
      <w:r>
        <w:t xml:space="preserve"/>
      </w:r>
    </w:p>
    <w:p>
      <w:pPr>
        <w:spacing w:after="100"/>
        <w:jc w:val="center"/>
      </w:pPr>
      <w:r>
        <w:rPr>
          <w:rFonts w:ascii="David" w:cs="David" w:eastAsia="David" w:hAnsi="David"/>
          <w:color w:val="666666"/>
          <w:sz w:val="22"/>
          <w:szCs w:val="22"/>
          <w:rtl/>
        </w:rPr>
        <w:t xml:space="preserve">הוכן עבור: משרת Strategic Partner Sales — PayMe</w:t>
      </w:r>
    </w:p>
    <w:p>
      <w:pPr>
        <w:spacing w:after="100"/>
        <w:jc w:val="center"/>
      </w:pPr>
      <w:r>
        <w:rPr>
          <w:rFonts w:ascii="David" w:cs="David" w:eastAsia="David" w:hAnsi="David"/>
          <w:color w:val="666666"/>
          <w:sz w:val="22"/>
          <w:szCs w:val="22"/>
          <w:rtl/>
        </w:rPr>
        <w:t xml:space="preserve">יולי 2026</w:t>
      </w:r>
    </w:p>
    <w:p>
      <w:r>
        <w:br w:type="page"/>
      </w:r>
    </w:p>
    <w:p>
      <w:pPr>
        <w:pStyle w:val="Heading1"/>
        <w:bidi/>
        <w:spacing w:after="200" w:before="300"/>
        <w:jc w:val="right"/>
      </w:pPr>
      <w:r>
        <w:rPr>
          <w:rFonts w:ascii="David" w:cs="David" w:eastAsia="David" w:hAnsi="David"/>
          <w:b/>
          <w:bCs/>
          <w:color w:val="1a3c5e"/>
          <w:sz w:val="36"/>
          <w:szCs w:val="36"/>
          <w:rtl/>
        </w:rPr>
        <w:t xml:space="preserve">תוכן עניינים</w:t>
      </w:r>
    </w:p>
    <w:p>
      <w:pPr>
        <w:bidi/>
        <w:spacing w:after="120" w:line="320"/>
        <w:jc w:val="right"/>
      </w:pPr>
      <w:r>
        <w:rPr>
          <w:rFonts w:ascii="David" w:cs="David" w:eastAsia="David" w:hAnsi="David"/>
          <w:sz w:val="24"/>
          <w:szCs w:val="24"/>
          <w:rtl/>
        </w:rPr>
        <w:t xml:space="preserve">1. תקציר מנהלים</w:t>
      </w:r>
    </w:p>
    <w:p>
      <w:pPr>
        <w:bidi/>
        <w:spacing w:after="120" w:line="320"/>
        <w:jc w:val="right"/>
      </w:pPr>
      <w:r>
        <w:rPr>
          <w:rFonts w:ascii="David" w:cs="David" w:eastAsia="David" w:hAnsi="David"/>
          <w:sz w:val="24"/>
          <w:szCs w:val="24"/>
          <w:rtl/>
        </w:rPr>
        <w:t xml:space="preserve">2. הבנת PayMe — מה החברה באמת עושה</w:t>
      </w:r>
    </w:p>
    <w:p>
      <w:pPr>
        <w:bidi/>
        <w:spacing w:after="120" w:line="320"/>
        <w:jc w:val="right"/>
      </w:pPr>
      <w:r>
        <w:rPr>
          <w:rFonts w:ascii="David" w:cs="David" w:eastAsia="David" w:hAnsi="David"/>
          <w:sz w:val="24"/>
          <w:szCs w:val="24"/>
          <w:rtl/>
        </w:rPr>
        <w:t xml:space="preserve">3. ניתוח מוצרים מעמיק</w:t>
      </w:r>
    </w:p>
    <w:p>
      <w:pPr>
        <w:bidi/>
        <w:spacing w:after="120" w:line="320"/>
        <w:jc w:val="right"/>
      </w:pPr>
      <w:r>
        <w:rPr>
          <w:rFonts w:ascii="David" w:cs="David" w:eastAsia="David" w:hAnsi="David"/>
          <w:sz w:val="24"/>
          <w:szCs w:val="24"/>
          <w:rtl/>
        </w:rPr>
        <w:t xml:space="preserve">   3.1 Payments — תשתית סליקה מוטמעת</w:t>
      </w:r>
    </w:p>
    <w:p>
      <w:pPr>
        <w:bidi/>
        <w:spacing w:after="120" w:line="320"/>
        <w:jc w:val="right"/>
      </w:pPr>
      <w:r>
        <w:rPr>
          <w:rFonts w:ascii="David" w:cs="David" w:eastAsia="David" w:hAnsi="David"/>
          <w:sz w:val="24"/>
          <w:szCs w:val="24"/>
          <w:rtl/>
        </w:rPr>
        <w:t xml:space="preserve">   3.2 Accounting — הנהלת חשבונות לעצמאיים חדשים</w:t>
      </w:r>
    </w:p>
    <w:p>
      <w:pPr>
        <w:bidi/>
        <w:spacing w:after="120" w:line="320"/>
        <w:jc w:val="right"/>
      </w:pPr>
      <w:r>
        <w:rPr>
          <w:rFonts w:ascii="David" w:cs="David" w:eastAsia="David" w:hAnsi="David"/>
          <w:sz w:val="24"/>
          <w:szCs w:val="24"/>
          <w:rtl/>
        </w:rPr>
        <w:t xml:space="preserve">   3.3 Marketing (Promoter) — שיווק דיגיטלי לעסקים קטנים</w:t>
      </w:r>
    </w:p>
    <w:p>
      <w:pPr>
        <w:bidi/>
        <w:spacing w:after="120" w:line="320"/>
        <w:jc w:val="right"/>
      </w:pPr>
      <w:r>
        <w:rPr>
          <w:rFonts w:ascii="David" w:cs="David" w:eastAsia="David" w:hAnsi="David"/>
          <w:sz w:val="24"/>
          <w:szCs w:val="24"/>
          <w:rtl/>
        </w:rPr>
        <w:t xml:space="preserve">4. מיפוי לקוחות קיימים — Case Studies</w:t>
      </w:r>
    </w:p>
    <w:p>
      <w:pPr>
        <w:bidi/>
        <w:spacing w:after="120" w:line="320"/>
        <w:jc w:val="right"/>
      </w:pPr>
      <w:r>
        <w:rPr>
          <w:rFonts w:ascii="David" w:cs="David" w:eastAsia="David" w:hAnsi="David"/>
          <w:sz w:val="24"/>
          <w:szCs w:val="24"/>
          <w:rtl/>
        </w:rPr>
        <w:t xml:space="preserve">   4.1 Wolt — Gig Economy ושליחים</w:t>
      </w:r>
    </w:p>
    <w:p>
      <w:pPr>
        <w:bidi/>
        <w:spacing w:after="120" w:line="320"/>
        <w:jc w:val="right"/>
      </w:pPr>
      <w:r>
        <w:rPr>
          <w:rFonts w:ascii="David" w:cs="David" w:eastAsia="David" w:hAnsi="David"/>
          <w:sz w:val="24"/>
          <w:szCs w:val="24"/>
          <w:rtl/>
        </w:rPr>
        <w:t xml:space="preserve">   4.2 Wix — פלטפורמת בניית אתרים</w:t>
      </w:r>
    </w:p>
    <w:p>
      <w:pPr>
        <w:bidi/>
        <w:spacing w:after="120" w:line="320"/>
        <w:jc w:val="right"/>
      </w:pPr>
      <w:r>
        <w:rPr>
          <w:rFonts w:ascii="David" w:cs="David" w:eastAsia="David" w:hAnsi="David"/>
          <w:sz w:val="24"/>
          <w:szCs w:val="24"/>
          <w:rtl/>
        </w:rPr>
        <w:t xml:space="preserve">   4.3 Shufersal — קמעונאות</w:t>
      </w:r>
    </w:p>
    <w:p>
      <w:pPr>
        <w:bidi/>
        <w:spacing w:after="120" w:line="320"/>
        <w:jc w:val="right"/>
      </w:pPr>
      <w:r>
        <w:rPr>
          <w:rFonts w:ascii="David" w:cs="David" w:eastAsia="David" w:hAnsi="David"/>
          <w:sz w:val="24"/>
          <w:szCs w:val="24"/>
          <w:rtl/>
        </w:rPr>
        <w:t xml:space="preserve">   4.4 Zester — RestaurantTech</w:t>
      </w:r>
    </w:p>
    <w:p>
      <w:pPr>
        <w:bidi/>
        <w:spacing w:after="120" w:line="320"/>
        <w:jc w:val="right"/>
      </w:pPr>
      <w:r>
        <w:rPr>
          <w:rFonts w:ascii="David" w:cs="David" w:eastAsia="David" w:hAnsi="David"/>
          <w:sz w:val="24"/>
          <w:szCs w:val="24"/>
          <w:rtl/>
        </w:rPr>
        <w:t xml:space="preserve">5. זיהוי דפוסים — מה המכנה המשותף בין הלקוחות</w:t>
      </w:r>
    </w:p>
    <w:p>
      <w:pPr>
        <w:bidi/>
        <w:spacing w:after="120" w:line="320"/>
        <w:jc w:val="right"/>
      </w:pPr>
      <w:r>
        <w:rPr>
          <w:rFonts w:ascii="David" w:cs="David" w:eastAsia="David" w:hAnsi="David"/>
          <w:sz w:val="24"/>
          <w:szCs w:val="24"/>
          <w:rtl/>
        </w:rPr>
        <w:t xml:space="preserve">6. מפת סגמנטים — קטגוריות שותפים פוטנציאליים</w:t>
      </w:r>
    </w:p>
    <w:p>
      <w:pPr>
        <w:bidi/>
        <w:spacing w:after="120" w:line="320"/>
        <w:jc w:val="right"/>
      </w:pPr>
      <w:r>
        <w:rPr>
          <w:rFonts w:ascii="David" w:cs="David" w:eastAsia="David" w:hAnsi="David"/>
          <w:sz w:val="24"/>
          <w:szCs w:val="24"/>
          <w:rtl/>
        </w:rPr>
        <w:t xml:space="preserve">7. נספח: נתוני המשימה (ARPU, Activation, Sales Cycle)</w:t>
      </w:r>
    </w:p>
    <w:p>
      <w:r>
        <w:br w:type="page"/>
      </w:r>
    </w:p>
    <w:p>
      <w:pPr>
        <w:pStyle w:val="Heading1"/>
        <w:bidi/>
        <w:spacing w:after="200" w:before="300"/>
        <w:jc w:val="right"/>
      </w:pPr>
      <w:r>
        <w:rPr>
          <w:rFonts w:ascii="David" w:cs="David" w:eastAsia="David" w:hAnsi="David"/>
          <w:b/>
          <w:bCs/>
          <w:color w:val="1a3c5e"/>
          <w:sz w:val="36"/>
          <w:szCs w:val="36"/>
          <w:rtl/>
        </w:rPr>
        <w:t xml:space="preserve">1. תקציר מנהלים</w:t>
      </w:r>
    </w:p>
    <w:p>
      <w:pPr>
        <w:bidi/>
        <w:spacing w:after="120" w:line="320"/>
        <w:jc w:val="right"/>
      </w:pPr>
      <w:r>
        <w:rPr>
          <w:rFonts w:ascii="David" w:cs="David" w:eastAsia="David" w:hAnsi="David"/>
          <w:sz w:val="24"/>
          <w:szCs w:val="24"/>
          <w:rtl/>
        </w:rPr>
        <w:t xml:space="preserve">מסמך זה מרכז מחקר מקיף שבוצע על חברת PayMe, מוצריה, לקוחותיה הקיימים והשוק הפוטנציאלי לשותפויות הפצה חדשות. המחקר נערך כהכנה למשימת עבודה (Home Assignment) לתפקיד Strategic Partner Sales, שמטרתה להגיע ל-100,000 ש"ח MRR תוך 4 חודשים באמצעות שותפויות הפצה.</w:t>
      </w:r>
    </w:p>
    <w:p>
      <w:pPr>
        <w:bidi/>
        <w:spacing w:after="120" w:line="320"/>
        <w:jc w:val="right"/>
      </w:pPr>
      <w:r>
        <w:rPr>
          <w:rFonts w:ascii="David" w:cs="David" w:eastAsia="David" w:hAnsi="David"/>
          <w:sz w:val="24"/>
          <w:szCs w:val="24"/>
          <w:rtl/>
        </w:rPr>
        <w:t xml:space="preserve">הממצא המרכזי: PayMe אינה חברת סליקה רגילה — היא חברת Embedded Finance. הלקוח האמיתי שלה אינו העסק הקטן, אלא הפלטפורמה שמשרתת עסקים קטנים. השותף מטמיע את שירותי PayMe בתוך המוצר שלו, והעסק הקטן משתמש בהם כחלק אינטגרלי מהחוויה — לעיתים בלי להיות מודע שמאחורי הקלעים עומדת PayMe.</w:t>
      </w:r>
    </w:p>
    <w:p>
      <w:pPr>
        <w:bidi/>
        <w:spacing w:after="120" w:line="320"/>
        <w:jc w:val="right"/>
      </w:pPr>
      <w:r>
        <w:rPr>
          <w:rFonts w:ascii="David" w:cs="David" w:eastAsia="David" w:hAnsi="David"/>
          <w:sz w:val="24"/>
          <w:szCs w:val="24"/>
          <w:rtl/>
        </w:rPr>
        <w:t xml:space="preserve">תובנה זו משנה מהותית את האופן שבו יש לגשת למשימה: לא "מי יקנה את PayMe?", אלא "מי כבר מחזיק קהילה גדולה של עסקים קטנים שצריכים בדיוק את הפתרונות האלה?"</w:t>
      </w:r>
    </w:p>
    <w:p>
      <w:pPr>
        <w:pBdr>
          <w:top w:val="single" w:color="2a5c8e" w:sz="1"/>
          <w:bottom w:val="single" w:color="2a5c8e" w:sz="1"/>
          <w:left w:val="single" w:color="2a5c8e" w:sz="6"/>
          <w:right w:val="single" w:color="2a5c8e" w:sz="1"/>
        </w:pBdr>
        <w:bidi/>
        <w:spacing w:after="200" w:before="200"/>
        <w:jc w:val="right"/>
      </w:pPr>
      <w:r>
        <w:rPr>
          <w:rFonts w:ascii="David" w:cs="David" w:eastAsia="David" w:hAnsi="David"/>
          <w:b/>
          <w:bCs/>
          <w:color w:val="2a5c8e"/>
          <w:sz w:val="22"/>
          <w:szCs w:val="22"/>
          <w:rtl/>
        </w:rPr>
        <w:t xml:space="preserve">תובנת מחקר: </w:t>
      </w:r>
      <w:r>
        <w:rPr>
          <w:rFonts w:ascii="David" w:cs="David" w:eastAsia="David" w:hAnsi="David"/>
          <w:sz w:val="22"/>
          <w:szCs w:val="22"/>
          <w:rtl/>
        </w:rPr>
        <w:t xml:space="preserve">המודל הוא B2B2B: PayMe מוכרת לפלטפורמה (B2B), הפלטפורמה מוכרת לעסקים הקטנים שלה (B2B2B). ההכנסה נוצרת מ-Revenue Share על כל עסק קטן שמשתמש בשירות.</w:t>
      </w:r>
    </w:p>
    <w:p>
      <w:r>
        <w:br w:type="page"/>
      </w:r>
    </w:p>
    <w:p>
      <w:pPr>
        <w:pStyle w:val="Heading1"/>
        <w:bidi/>
        <w:spacing w:after="200" w:before="300"/>
        <w:jc w:val="right"/>
      </w:pPr>
      <w:r>
        <w:rPr>
          <w:rFonts w:ascii="David" w:cs="David" w:eastAsia="David" w:hAnsi="David"/>
          <w:b/>
          <w:bCs/>
          <w:color w:val="1a3c5e"/>
          <w:sz w:val="36"/>
          <w:szCs w:val="36"/>
          <w:rtl/>
        </w:rPr>
        <w:t xml:space="preserve">2. הבנת PayMe — מה החברה באמת עושה</w:t>
      </w:r>
    </w:p>
    <w:p>
      <w:pPr>
        <w:bidi/>
        <w:spacing w:after="120" w:line="320"/>
        <w:jc w:val="right"/>
      </w:pPr>
      <w:r>
        <w:rPr>
          <w:rFonts w:ascii="David" w:cs="David" w:eastAsia="David" w:hAnsi="David"/>
          <w:sz w:val="24"/>
          <w:szCs w:val="24"/>
          <w:rtl/>
        </w:rPr>
        <w:t xml:space="preserve">PayMe נוסדה בשנת 2014 בתל אביב על ידי Adam Kogan. החברה פיתחה פלטפורמת White-Label לשירותים פיננסיים מוטמעים (Embedded Finance), המיועדת לבנקים, חברות סליקה (Acquirers), מוסדות פיננסיים, מרקטפלייסים, ופלטפורמות שמשרתות עסקים קטנים.</w:t>
      </w:r>
    </w:p>
    <w:p>
      <w:pPr>
        <w:bidi/>
        <w:spacing w:after="120" w:line="320"/>
        <w:jc w:val="right"/>
      </w:pPr>
      <w:r>
        <w:rPr>
          <w:rFonts w:ascii="David" w:cs="David" w:eastAsia="David" w:hAnsi="David"/>
          <w:sz w:val="24"/>
          <w:szCs w:val="24"/>
          <w:rtl/>
        </w:rPr>
        <w:t xml:space="preserve">החברה מספקת שירותים ליותר מ-200 שותפים ברחבי העולם, שדרכם משרתת למעלה מ-70,000 עסקים. היא עיבדה יותר מ-150 מיליון דולר כבר בשנת 2020, עם מרווח הכנסה של למעלה מ-3% על נפח התשלומים — פרמיה של 350% מעל לממוצע של בנקים וחברות PSP מסורתיות.</w:t>
      </w:r>
    </w:p>
    <w:p>
      <w:pPr>
        <w:bidi/>
        <w:spacing w:after="120" w:line="320"/>
        <w:jc w:val="right"/>
      </w:pPr>
      <w:r>
        <w:rPr>
          <w:rFonts w:ascii="David" w:cs="David" w:eastAsia="David" w:hAnsi="David"/>
          <w:b/>
          <w:bCs/>
          <w:sz w:val="24"/>
          <w:szCs w:val="24"/>
          <w:rtl/>
        </w:rPr>
        <w:t xml:space="preserve">המודל העסקי הליבתי: </w:t>
      </w:r>
      <w:r>
        <w:rPr>
          <w:rFonts w:ascii="David" w:cs="David" w:eastAsia="David" w:hAnsi="David"/>
          <w:sz w:val="24"/>
          <w:szCs w:val="24"/>
          <w:rtl/>
        </w:rPr>
        <w:t xml:space="preserve">PayMe מספקת API מלא ("Brandless API") שמאפשר לכל ארגון לשלב שירותים פיננסיים — סליקה, חשבוניות, הנהלת חשבונות, הגנה מפני הונאות, ועוד — בתוך המוצר שלו, תחת המותג שלו, ללא צורך בפיתוח עצמאי.</w:t>
      </w:r>
    </w:p>
    <w:p>
      <w:pPr>
        <w:bidi/>
        <w:spacing w:after="120" w:line="320"/>
        <w:jc w:val="right"/>
      </w:pPr>
      <w:r>
        <w:rPr>
          <w:rFonts w:ascii="David" w:cs="David" w:eastAsia="David" w:hAnsi="David"/>
          <w:sz w:val="24"/>
          <w:szCs w:val="24"/>
          <w:rtl/>
        </w:rPr>
        <w:t xml:space="preserve">כפי שהחברה מגדירה את עצמה: "Everyone wants to be a one-stop shop, and we help them achieve that within the financial space."</w:t>
      </w:r>
    </w:p>
    <w:p>
      <w:pPr>
        <w:bidi/>
        <w:spacing w:after="120" w:line="320"/>
        <w:jc w:val="right"/>
      </w:pPr>
      <w:r>
        <w:rPr>
          <w:rFonts w:ascii="David" w:cs="David" w:eastAsia="David" w:hAnsi="David"/>
          <w:b/>
          <w:bCs/>
          <w:sz w:val="24"/>
          <w:szCs w:val="24"/>
          <w:rtl/>
        </w:rPr>
        <w:t xml:space="preserve">שותפים מרכזיים מוכרים: </w:t>
      </w:r>
      <w:r>
        <w:rPr>
          <w:rFonts w:ascii="David" w:cs="David" w:eastAsia="David" w:hAnsi="David"/>
          <w:sz w:val="24"/>
          <w:szCs w:val="24"/>
          <w:rtl/>
        </w:rPr>
        <w:t xml:space="preserve">Wolt, Wix (דרך Isracard powered by PayMe), Shufersal, Zester, Stripe (שותפות אינטגרציה), Fawry Dahab (מצרים).</w:t>
      </w:r>
    </w:p>
    <w:p>
      <w:pPr>
        <w:bidi/>
        <w:spacing w:after="120" w:line="320"/>
        <w:jc w:val="right"/>
      </w:pPr>
      <w:r>
        <w:rPr>
          <w:rFonts w:ascii="David" w:cs="David" w:eastAsia="David" w:hAnsi="David"/>
          <w:b/>
          <w:bCs/>
          <w:sz w:val="24"/>
          <w:szCs w:val="24"/>
          <w:rtl/>
        </w:rPr>
        <w:t xml:space="preserve">גיאוגרפיה: </w:t>
      </w:r>
      <w:r>
        <w:rPr>
          <w:rFonts w:ascii="David" w:cs="David" w:eastAsia="David" w:hAnsi="David"/>
          <w:sz w:val="24"/>
          <w:szCs w:val="24"/>
          <w:rtl/>
        </w:rPr>
        <w:t xml:space="preserve">ישראל (הבסיס), אירופה (כניסה לשוק ב-2022 לאחר רפורמות רגולטוריות), ארה"ב.</w:t>
      </w:r>
    </w:p>
    <w:p>
      <w:pPr>
        <w:bidi/>
        <w:spacing w:after="120" w:line="320"/>
        <w:jc w:val="right"/>
      </w:pPr>
      <w:r>
        <w:rPr>
          <w:rFonts w:ascii="David" w:cs="David" w:eastAsia="David" w:hAnsi="David"/>
          <w:b/>
          <w:bCs/>
          <w:sz w:val="24"/>
          <w:szCs w:val="24"/>
          <w:rtl/>
        </w:rPr>
        <w:t xml:space="preserve">מימון: </w:t>
      </w:r>
      <w:r>
        <w:rPr>
          <w:rFonts w:ascii="David" w:cs="David" w:eastAsia="David" w:hAnsi="David"/>
          <w:sz w:val="24"/>
          <w:szCs w:val="24"/>
          <w:rtl/>
        </w:rPr>
        <w:t xml:space="preserve">גיוס ראשוני של 150,000$ מ-Prytek. החברה צמחה בעיקר אורגנית, עם צמיחת הכנסות של 28% ב-2025.</w:t>
      </w:r>
    </w:p>
    <w:p>
      <w:pPr>
        <w:bidi/>
        <w:spacing w:after="120" w:line="320"/>
        <w:jc w:val="right"/>
      </w:pPr>
      <w:r>
        <w:rPr>
          <w:rFonts w:ascii="David" w:cs="David" w:eastAsia="David" w:hAnsi="David"/>
          <w:b/>
          <w:bCs/>
          <w:sz w:val="24"/>
          <w:szCs w:val="24"/>
          <w:rtl/>
        </w:rPr>
        <w:t xml:space="preserve">צוות: </w:t>
      </w:r>
      <w:r>
        <w:rPr>
          <w:rFonts w:ascii="David" w:cs="David" w:eastAsia="David" w:hAnsi="David"/>
          <w:sz w:val="24"/>
          <w:szCs w:val="24"/>
          <w:rtl/>
        </w:rPr>
        <w:t xml:space="preserve">כ-60 עובדים (נכון ל-2024), מתוכם הרוב מפתחים ואנשי מוצר. לפי CEO: "יש לנו איש מכירות אחד. ביתר החברות היחס הפוך. אנחנו לא חברה פיננסית — אנחנו Tech Aggregator."</w:t>
      </w:r>
    </w:p>
    <w:p>
      <w:pPr>
        <w:pBdr>
          <w:top w:val="single" w:color="2a5c8e" w:sz="1"/>
          <w:bottom w:val="single" w:color="2a5c8e" w:sz="1"/>
          <w:left w:val="single" w:color="2a5c8e" w:sz="6"/>
          <w:right w:val="single" w:color="2a5c8e" w:sz="1"/>
        </w:pBdr>
        <w:bidi/>
        <w:spacing w:after="200" w:before="200"/>
        <w:jc w:val="right"/>
      </w:pPr>
      <w:r>
        <w:rPr>
          <w:rFonts w:ascii="David" w:cs="David" w:eastAsia="David" w:hAnsi="David"/>
          <w:b/>
          <w:bCs/>
          <w:color w:val="2a5c8e"/>
          <w:sz w:val="22"/>
          <w:szCs w:val="22"/>
          <w:rtl/>
        </w:rPr>
        <w:t xml:space="preserve">תובנת מחקר: </w:t>
      </w:r>
      <w:r>
        <w:rPr>
          <w:rFonts w:ascii="David" w:cs="David" w:eastAsia="David" w:hAnsi="David"/>
          <w:sz w:val="22"/>
          <w:szCs w:val="22"/>
          <w:rtl/>
        </w:rPr>
        <w:t xml:space="preserve">PayMe היא לא מתחרה של Tranzila או HYP — היא משחקת במשחק אחר. היא מתחרה על Stripe, Adyen ו-Checkout.com בעולם ה-Embedded Finance. ההבנה הזו קריטית לגישה נכונה למשימה.</w:t>
      </w:r>
    </w:p>
    <w:p>
      <w:r>
        <w:br w:type="page"/>
      </w:r>
    </w:p>
    <w:p>
      <w:pPr>
        <w:pStyle w:val="Heading1"/>
        <w:bidi/>
        <w:spacing w:after="200" w:before="300"/>
        <w:jc w:val="right"/>
      </w:pPr>
      <w:r>
        <w:rPr>
          <w:rFonts w:ascii="David" w:cs="David" w:eastAsia="David" w:hAnsi="David"/>
          <w:b/>
          <w:bCs/>
          <w:color w:val="1a3c5e"/>
          <w:sz w:val="36"/>
          <w:szCs w:val="36"/>
          <w:rtl/>
        </w:rPr>
        <w:t xml:space="preserve">3. ניתוח מוצרים מעמיק</w:t>
      </w:r>
    </w:p>
    <w:p>
      <w:pPr>
        <w:pStyle w:val="Heading2"/>
        <w:bidi/>
        <w:spacing w:after="200" w:before="300"/>
        <w:jc w:val="right"/>
      </w:pPr>
      <w:r>
        <w:rPr>
          <w:rFonts w:ascii="David" w:cs="David" w:eastAsia="David" w:hAnsi="David"/>
          <w:b/>
          <w:bCs/>
          <w:color w:val="2a5c8e"/>
          <w:sz w:val="30"/>
          <w:szCs w:val="30"/>
          <w:rtl/>
        </w:rPr>
        <w:t xml:space="preserve">3.1 Payments — תשתית סליקה מוטמעת</w:t>
      </w:r>
    </w:p>
    <w:p>
      <w:pPr>
        <w:bidi/>
        <w:spacing w:after="120" w:line="320"/>
        <w:jc w:val="right"/>
      </w:pPr>
      <w:r>
        <w:rPr>
          <w:rFonts w:ascii="David" w:cs="David" w:eastAsia="David" w:hAnsi="David"/>
          <w:b/>
          <w:bCs/>
          <w:sz w:val="24"/>
          <w:szCs w:val="24"/>
          <w:rtl/>
        </w:rPr>
        <w:t xml:space="preserve">מהות המוצר: </w:t>
      </w:r>
      <w:r>
        <w:rPr>
          <w:rFonts w:ascii="David" w:cs="David" w:eastAsia="David" w:hAnsi="David"/>
          <w:sz w:val="24"/>
          <w:szCs w:val="24"/>
          <w:rtl/>
        </w:rPr>
        <w:t xml:space="preserve">תשתית סליקה מלאה (Full-Stack Payment Infrastructure) הכוללת: Checkout, Recurring Billing, Marketplace Payments, Split Payments, Wallets, הגנה מפני הונאות, יותר מ-85 אמצעי תשלום, ו-APIs מלאים.</w:t>
      </w:r>
    </w:p>
    <w:p>
      <w:pPr>
        <w:bidi/>
        <w:spacing w:after="120" w:line="320"/>
        <w:jc w:val="right"/>
      </w:pPr>
      <w:r>
        <w:rPr>
          <w:rFonts w:ascii="David" w:cs="David" w:eastAsia="David" w:hAnsi="David"/>
          <w:b/>
          <w:bCs/>
          <w:sz w:val="24"/>
          <w:szCs w:val="24"/>
          <w:rtl/>
        </w:rPr>
        <w:t xml:space="preserve">ARPU (לפי המשימה): </w:t>
      </w:r>
      <w:r>
        <w:rPr>
          <w:rFonts w:ascii="David" w:cs="David" w:eastAsia="David" w:hAnsi="David"/>
          <w:sz w:val="24"/>
          <w:szCs w:val="24"/>
          <w:rtl/>
        </w:rPr>
        <w:t xml:space="preserve">100 ש"ח</w:t>
      </w:r>
    </w:p>
    <w:p>
      <w:pPr>
        <w:bidi/>
        <w:spacing w:after="120" w:line="320"/>
        <w:jc w:val="right"/>
      </w:pPr>
      <w:r>
        <w:rPr>
          <w:rFonts w:ascii="David" w:cs="David" w:eastAsia="David" w:hAnsi="David"/>
          <w:b/>
          <w:bCs/>
          <w:sz w:val="24"/>
          <w:szCs w:val="24"/>
          <w:rtl/>
        </w:rPr>
        <w:t xml:space="preserve">Activation Rate: </w:t>
      </w:r>
      <w:r>
        <w:rPr>
          <w:rFonts w:ascii="David" w:cs="David" w:eastAsia="David" w:hAnsi="David"/>
          <w:sz w:val="24"/>
          <w:szCs w:val="24"/>
          <w:rtl/>
        </w:rPr>
        <w:t xml:space="preserve">15%</w:t>
      </w:r>
    </w:p>
    <w:p>
      <w:pPr>
        <w:bidi/>
        <w:spacing w:after="120" w:line="320"/>
        <w:jc w:val="right"/>
      </w:pPr>
      <w:r>
        <w:rPr>
          <w:rFonts w:ascii="David" w:cs="David" w:eastAsia="David" w:hAnsi="David"/>
          <w:b/>
          <w:bCs/>
          <w:sz w:val="24"/>
          <w:szCs w:val="24"/>
          <w:rtl/>
        </w:rPr>
        <w:t xml:space="preserve">מחזור מכירה ממוצע: </w:t>
      </w:r>
      <w:r>
        <w:rPr>
          <w:rFonts w:ascii="David" w:cs="David" w:eastAsia="David" w:hAnsi="David"/>
          <w:sz w:val="24"/>
          <w:szCs w:val="24"/>
          <w:rtl/>
        </w:rPr>
        <w:t xml:space="preserve">4 שבועות</w:t>
      </w:r>
    </w:p>
    <w:p>
      <w:pPr>
        <w:bidi/>
        <w:spacing w:after="120" w:line="320"/>
        <w:jc w:val="right"/>
      </w:pPr>
      <w:r>
        <w:rPr>
          <w:rFonts w:ascii="David" w:cs="David" w:eastAsia="David" w:hAnsi="David"/>
          <w:b/>
          <w:bCs/>
          <w:sz w:val="24"/>
          <w:szCs w:val="24"/>
          <w:rtl/>
        </w:rPr>
        <w:t xml:space="preserve">גיאוגרפיה: </w:t>
      </w:r>
      <w:r>
        <w:rPr>
          <w:rFonts w:ascii="David" w:cs="David" w:eastAsia="David" w:hAnsi="David"/>
          <w:sz w:val="24"/>
          <w:szCs w:val="24"/>
          <w:rtl/>
        </w:rPr>
        <w:t xml:space="preserve">ישראל, ארה"ב, אירופה</w:t>
      </w:r>
    </w:p>
    <w:p>
      <w:pPr>
        <w:bidi/>
        <w:spacing w:after="120" w:line="320"/>
        <w:jc w:val="right"/>
      </w:pPr>
      <w:r>
        <w:rPr>
          <w:rFonts w:ascii="David" w:cs="David" w:eastAsia="David" w:hAnsi="David"/>
          <w:sz w:val="24"/>
          <w:szCs w:val="24"/>
          <w:rtl/>
        </w:rPr>
        <w:t xml:space="preserve">הבעיה שהמוצר פותר: כל פלטפורמה שרוצה לאפשר למשתמשיה לקבל תשלומים צריכה לבנות מערכת פיננסית מורכבת — סליקה, התאמות, רגולציה, הגנה מפני הונאות. זה יקר, מורכב וארוך. PayMe מציעה את כל זה כ-API מוכן להטמעה.</w:t>
      </w:r>
    </w:p>
    <w:p>
      <w:pPr>
        <w:bidi/>
        <w:spacing w:after="120" w:line="320"/>
        <w:jc w:val="right"/>
      </w:pPr>
      <w:r>
        <w:rPr>
          <w:rFonts w:ascii="David" w:cs="David" w:eastAsia="David" w:hAnsi="David"/>
          <w:b/>
          <w:bCs/>
          <w:sz w:val="24"/>
          <w:szCs w:val="24"/>
          <w:rtl/>
        </w:rPr>
        <w:t xml:space="preserve">סוגי שותפים רלוונטיים: </w:t>
      </w:r>
      <w:r>
        <w:rPr>
          <w:rFonts w:ascii="David" w:cs="David" w:eastAsia="David" w:hAnsi="David"/>
          <w:sz w:val="24"/>
          <w:szCs w:val="24"/>
          <w:rtl/>
        </w:rPr>
        <w:t xml:space="preserve">מרקטפלייסים, פלטפורמות e-Commerce (Wix, Shopify, WooCommerce), מערכות הזמנות, CRM לעסקים קטנים, מערכות ניהול מסעדות, פלטפורמות Gig Economy, פלטפורמות ליוצרי תוכן.</w:t>
      </w:r>
    </w:p>
    <w:p>
      <w:pPr>
        <w:bidi/>
        <w:spacing w:after="120" w:line="320"/>
        <w:jc w:val="right"/>
      </w:pPr>
      <w:r>
        <w:rPr>
          <w:rFonts w:ascii="David" w:cs="David" w:eastAsia="David" w:hAnsi="David"/>
          <w:b/>
          <w:bCs/>
          <w:sz w:val="24"/>
          <w:szCs w:val="24"/>
          <w:rtl/>
        </w:rPr>
        <w:t xml:space="preserve">מתחרים: </w:t>
      </w:r>
      <w:r>
        <w:rPr>
          <w:rFonts w:ascii="David" w:cs="David" w:eastAsia="David" w:hAnsi="David"/>
          <w:sz w:val="24"/>
          <w:szCs w:val="24"/>
          <w:rtl/>
        </w:rPr>
        <w:t xml:space="preserve">בישראל — Tranzila, HYP, Pelecard. בעולם — Stripe, Adyen, Checkout.com, Square.</w:t>
      </w:r>
    </w:p>
    <w:p>
      <w:pPr>
        <w:pBdr>
          <w:top w:val="single" w:color="2a5c8e" w:sz="1"/>
          <w:bottom w:val="single" w:color="2a5c8e" w:sz="1"/>
          <w:left w:val="single" w:color="2a5c8e" w:sz="6"/>
          <w:right w:val="single" w:color="2a5c8e" w:sz="1"/>
        </w:pBdr>
        <w:bidi/>
        <w:spacing w:after="200" w:before="200"/>
        <w:jc w:val="right"/>
      </w:pPr>
      <w:r>
        <w:rPr>
          <w:rFonts w:ascii="David" w:cs="David" w:eastAsia="David" w:hAnsi="David"/>
          <w:b/>
          <w:bCs/>
          <w:color w:val="2a5c8e"/>
          <w:sz w:val="22"/>
          <w:szCs w:val="22"/>
          <w:rtl/>
        </w:rPr>
        <w:t xml:space="preserve">תובנת מחקר: </w:t>
      </w:r>
      <w:r>
        <w:rPr>
          <w:rFonts w:ascii="David" w:cs="David" w:eastAsia="David" w:hAnsi="David"/>
          <w:sz w:val="22"/>
          <w:szCs w:val="22"/>
          <w:rtl/>
        </w:rPr>
        <w:t xml:space="preserve">שיעור ההפעלה הנמוך (15%) הוא אתגר. המשמעות: מתוך 1,000 עסקים על פלטפורמת שותף, רק 150 ישתמשו בפועל. צריך לבחור שותפים עם כמות גדולה מאוד של עסקים, או לשלב עם מוצרים בעלי Activation גבוה יותר.</w:t>
      </w:r>
    </w:p>
    <w:p>
      <w:r>
        <w:br w:type="page"/>
      </w:r>
    </w:p>
    <w:p>
      <w:pPr>
        <w:pStyle w:val="Heading2"/>
        <w:bidi/>
        <w:spacing w:after="200" w:before="300"/>
        <w:jc w:val="right"/>
      </w:pPr>
      <w:r>
        <w:rPr>
          <w:rFonts w:ascii="David" w:cs="David" w:eastAsia="David" w:hAnsi="David"/>
          <w:b/>
          <w:bCs/>
          <w:color w:val="2a5c8e"/>
          <w:sz w:val="30"/>
          <w:szCs w:val="30"/>
          <w:rtl/>
        </w:rPr>
        <w:t xml:space="preserve">3.2 Accounting — הנהלת חשבונות לעצמאיים חדשים</w:t>
      </w:r>
    </w:p>
    <w:p>
      <w:pPr>
        <w:bidi/>
        <w:spacing w:after="120" w:line="320"/>
        <w:jc w:val="right"/>
      </w:pPr>
      <w:r>
        <w:rPr>
          <w:rFonts w:ascii="David" w:cs="David" w:eastAsia="David" w:hAnsi="David"/>
          <w:b/>
          <w:bCs/>
          <w:sz w:val="24"/>
          <w:szCs w:val="24"/>
          <w:rtl/>
        </w:rPr>
        <w:t xml:space="preserve">מהות המוצר: </w:t>
      </w:r>
      <w:r>
        <w:rPr>
          <w:rFonts w:ascii="David" w:cs="David" w:eastAsia="David" w:hAnsi="David"/>
          <w:sz w:val="24"/>
          <w:szCs w:val="24"/>
          <w:rtl/>
        </w:rPr>
        <w:t xml:space="preserve">לא מוצר הנהלת חשבונות קלאסי — אלא מעטפת שלמה לעצמאיים חדשים: חשבוניות, הנהלת חשבונות, דיווחים לרשויות, אוטומציית מס, התאמות, ניהול הוצאות.</w:t>
      </w:r>
    </w:p>
    <w:p>
      <w:pPr>
        <w:bidi/>
        <w:spacing w:after="120" w:line="320"/>
        <w:jc w:val="right"/>
      </w:pPr>
      <w:r>
        <w:rPr>
          <w:rFonts w:ascii="David" w:cs="David" w:eastAsia="David" w:hAnsi="David"/>
          <w:b/>
          <w:bCs/>
          <w:sz w:val="24"/>
          <w:szCs w:val="24"/>
          <w:rtl/>
        </w:rPr>
        <w:t xml:space="preserve">ARPU (לפי המשימה): </w:t>
      </w:r>
      <w:r>
        <w:rPr>
          <w:rFonts w:ascii="David" w:cs="David" w:eastAsia="David" w:hAnsi="David"/>
          <w:sz w:val="24"/>
          <w:szCs w:val="24"/>
          <w:rtl/>
        </w:rPr>
        <w:t xml:space="preserve">150 ש"ח</w:t>
      </w:r>
    </w:p>
    <w:p>
      <w:pPr>
        <w:bidi/>
        <w:spacing w:after="120" w:line="320"/>
        <w:jc w:val="right"/>
      </w:pPr>
      <w:r>
        <w:rPr>
          <w:rFonts w:ascii="David" w:cs="David" w:eastAsia="David" w:hAnsi="David"/>
          <w:b/>
          <w:bCs/>
          <w:sz w:val="24"/>
          <w:szCs w:val="24"/>
          <w:rtl/>
        </w:rPr>
        <w:t xml:space="preserve">Activation Rate: </w:t>
      </w:r>
      <w:r>
        <w:rPr>
          <w:rFonts w:ascii="David" w:cs="David" w:eastAsia="David" w:hAnsi="David"/>
          <w:sz w:val="24"/>
          <w:szCs w:val="24"/>
          <w:rtl/>
        </w:rPr>
        <w:t xml:space="preserve">25%</w:t>
      </w:r>
    </w:p>
    <w:p>
      <w:pPr>
        <w:bidi/>
        <w:spacing w:after="120" w:line="320"/>
        <w:jc w:val="right"/>
      </w:pPr>
      <w:r>
        <w:rPr>
          <w:rFonts w:ascii="David" w:cs="David" w:eastAsia="David" w:hAnsi="David"/>
          <w:b/>
          <w:bCs/>
          <w:sz w:val="24"/>
          <w:szCs w:val="24"/>
          <w:rtl/>
        </w:rPr>
        <w:t xml:space="preserve">מחזור מכירה ממוצע: </w:t>
      </w:r>
      <w:r>
        <w:rPr>
          <w:rFonts w:ascii="David" w:cs="David" w:eastAsia="David" w:hAnsi="David"/>
          <w:sz w:val="24"/>
          <w:szCs w:val="24"/>
          <w:rtl/>
        </w:rPr>
        <w:t xml:space="preserve">2 שבועות</w:t>
      </w:r>
    </w:p>
    <w:p>
      <w:pPr>
        <w:bidi/>
        <w:spacing w:after="120" w:line="320"/>
        <w:jc w:val="right"/>
      </w:pPr>
      <w:r>
        <w:rPr>
          <w:rFonts w:ascii="David" w:cs="David" w:eastAsia="David" w:hAnsi="David"/>
          <w:b/>
          <w:bCs/>
          <w:sz w:val="24"/>
          <w:szCs w:val="24"/>
          <w:rtl/>
        </w:rPr>
        <w:t xml:space="preserve">גיאוגרפיה: </w:t>
      </w:r>
      <w:r>
        <w:rPr>
          <w:rFonts w:ascii="David" w:cs="David" w:eastAsia="David" w:hAnsi="David"/>
          <w:sz w:val="24"/>
          <w:szCs w:val="24"/>
          <w:rtl/>
        </w:rPr>
        <w:t xml:space="preserve">ישראל בלבד</w:t>
      </w:r>
    </w:p>
    <w:p>
      <w:pPr>
        <w:bidi/>
        <w:spacing w:after="120" w:line="320"/>
        <w:jc w:val="right"/>
      </w:pPr>
      <w:r>
        <w:rPr>
          <w:rFonts w:ascii="David" w:cs="David" w:eastAsia="David" w:hAnsi="David"/>
          <w:sz w:val="24"/>
          <w:szCs w:val="24"/>
          <w:rtl/>
        </w:rPr>
        <w:t xml:space="preserve">הבעיה שהמוצר פותר: מיליוני אנשים בישראל הופכים לעצמאיים — שליחים, מאמנים, מטפלים, פרילנסרים — בלי להבין כלום במס ובהנהלת חשבונות. PayMe מציעה להם שירות אוטומטי שמטפל בכל מה שקשור לצד הפיננסי-רגולטורי של העסק שלהם.</w:t>
      </w:r>
    </w:p>
    <w:p>
      <w:pPr>
        <w:bidi/>
        <w:spacing w:after="120" w:line="320"/>
        <w:jc w:val="right"/>
      </w:pPr>
      <w:r>
        <w:rPr>
          <w:rFonts w:ascii="David" w:cs="David" w:eastAsia="David" w:hAnsi="David"/>
          <w:b/>
          <w:bCs/>
          <w:sz w:val="24"/>
          <w:szCs w:val="24"/>
          <w:rtl/>
        </w:rPr>
        <w:t xml:space="preserve">התובנה הקריטית: </w:t>
      </w:r>
      <w:r>
        <w:rPr>
          <w:rFonts w:ascii="David" w:cs="David" w:eastAsia="David" w:hAnsi="David"/>
          <w:sz w:val="24"/>
          <w:szCs w:val="24"/>
          <w:rtl/>
        </w:rPr>
        <w:t xml:space="preserve">קהל היעד הוא לא "רואי חשבון" או "עסקים שמחפשים תוכנת הנהלת חשבונות". קהל היעד הוא אנשים שהופכים לעצמאים בפעם הראשונה — ולא מבינים (ולא רוצים להבין) את הצד הפיננסי. הם צריכים שמישהו אחר יעשה את זה בשבילם. PayMe היא "המישהו האחר".</w:t>
      </w:r>
    </w:p>
    <w:p>
      <w:pPr>
        <w:bidi/>
        <w:spacing w:after="120" w:line="320"/>
        <w:jc w:val="right"/>
      </w:pPr>
      <w:r>
        <w:rPr>
          <w:rFonts w:ascii="David" w:cs="David" w:eastAsia="David" w:hAnsi="David"/>
          <w:b/>
          <w:bCs/>
          <w:sz w:val="24"/>
          <w:szCs w:val="24"/>
          <w:rtl/>
        </w:rPr>
        <w:t xml:space="preserve">פרופילים של קהל יעד: </w:t>
      </w:r>
      <w:r>
        <w:rPr>
          <w:rFonts w:ascii="David" w:cs="David" w:eastAsia="David" w:hAnsi="David"/>
          <w:sz w:val="24"/>
          <w:szCs w:val="24"/>
          <w:rtl/>
        </w:rPr>
        <w:t xml:space="preserve">שליחי Wolt/Wolt Market, נהגי Gett, מאמנים אישיים, מטפלים (פסיכולוגים, דיאטנים, קוסמטיקאיות), מורים פרטיים, יועצים, יוצרי תוכן, אמנים, פרילנסרים בתחום ההיי-טק.</w:t>
      </w:r>
    </w:p>
    <w:p>
      <w:pPr>
        <w:bidi/>
        <w:spacing w:after="120" w:line="320"/>
        <w:jc w:val="right"/>
      </w:pPr>
      <w:r>
        <w:rPr>
          <w:rFonts w:ascii="David" w:cs="David" w:eastAsia="David" w:hAnsi="David"/>
          <w:b/>
          <w:bCs/>
          <w:sz w:val="24"/>
          <w:szCs w:val="24"/>
          <w:rtl/>
        </w:rPr>
        <w:t xml:space="preserve">המתחרים בישראל: </w:t>
      </w:r>
      <w:r>
        <w:rPr>
          <w:rFonts w:ascii="David" w:cs="David" w:eastAsia="David" w:hAnsi="David"/>
          <w:sz w:val="24"/>
          <w:szCs w:val="24"/>
          <w:rtl/>
        </w:rPr>
        <w:t xml:space="preserve">iCount (80,000+ עסקים), EZcount (נרכשה על ידי מקס), GreenInvoice, חשבונית ירוקה.</w:t>
      </w:r>
    </w:p>
    <w:p>
      <w:pPr>
        <w:pBdr>
          <w:top w:val="single" w:color="2a5c8e" w:sz="1"/>
          <w:bottom w:val="single" w:color="2a5c8e" w:sz="1"/>
          <w:left w:val="single" w:color="2a5c8e" w:sz="6"/>
          <w:right w:val="single" w:color="2a5c8e" w:sz="1"/>
        </w:pBdr>
        <w:bidi/>
        <w:spacing w:after="200" w:before="200"/>
        <w:jc w:val="right"/>
      </w:pPr>
      <w:r>
        <w:rPr>
          <w:rFonts w:ascii="David" w:cs="David" w:eastAsia="David" w:hAnsi="David"/>
          <w:b/>
          <w:bCs/>
          <w:color w:val="2a5c8e"/>
          <w:sz w:val="22"/>
          <w:szCs w:val="22"/>
          <w:rtl/>
        </w:rPr>
        <w:t xml:space="preserve">תובנת מחקר: </w:t>
      </w:r>
      <w:r>
        <w:rPr>
          <w:rFonts w:ascii="David" w:cs="David" w:eastAsia="David" w:hAnsi="David"/>
          <w:sz w:val="22"/>
          <w:szCs w:val="22"/>
          <w:rtl/>
        </w:rPr>
        <w:t xml:space="preserve">מוצר ה-Accounting הוא "הדלת" הכי טבעית לשיתוף פעולה עם פלטפורמות Gig Economy. שליח שנרשם ל-Wolt צריך פתיחת עוסק, חשבוניות ודיווח מס — בדיוק מה ש-PayMe מספקת. זה כבר מודל עובד (Wolt Case Study).</w:t>
      </w:r>
    </w:p>
    <w:p>
      <w:r>
        <w:br w:type="page"/>
      </w:r>
    </w:p>
    <w:p>
      <w:pPr>
        <w:pStyle w:val="Heading2"/>
        <w:bidi/>
        <w:spacing w:after="200" w:before="300"/>
        <w:jc w:val="right"/>
      </w:pPr>
      <w:r>
        <w:rPr>
          <w:rFonts w:ascii="David" w:cs="David" w:eastAsia="David" w:hAnsi="David"/>
          <w:b/>
          <w:bCs/>
          <w:color w:val="2a5c8e"/>
          <w:sz w:val="30"/>
          <w:szCs w:val="30"/>
          <w:rtl/>
        </w:rPr>
        <w:t xml:space="preserve">3.3 Marketing / Promoter — שיווק דיגיטלי לעסקים קטנים</w:t>
      </w:r>
    </w:p>
    <w:p>
      <w:pPr>
        <w:bidi/>
        <w:spacing w:after="120" w:line="320"/>
        <w:jc w:val="right"/>
      </w:pPr>
      <w:r>
        <w:rPr>
          <w:rFonts w:ascii="David" w:cs="David" w:eastAsia="David" w:hAnsi="David"/>
          <w:b/>
          <w:bCs/>
          <w:sz w:val="24"/>
          <w:szCs w:val="24"/>
          <w:rtl/>
        </w:rPr>
        <w:t xml:space="preserve">מהות המוצר: </w:t>
      </w:r>
      <w:r>
        <w:rPr>
          <w:rFonts w:ascii="David" w:cs="David" w:eastAsia="David" w:hAnsi="David"/>
          <w:sz w:val="24"/>
          <w:szCs w:val="24"/>
          <w:rtl/>
        </w:rPr>
        <w:t xml:space="preserve">פתרון שיווק דיגיטלי והפקת לידים לעסקים קטנים, הניתן להטמעה דרך שותפים.</w:t>
      </w:r>
    </w:p>
    <w:p>
      <w:pPr>
        <w:bidi/>
        <w:spacing w:after="120" w:line="320"/>
        <w:jc w:val="right"/>
      </w:pPr>
      <w:r>
        <w:rPr>
          <w:rFonts w:ascii="David" w:cs="David" w:eastAsia="David" w:hAnsi="David"/>
          <w:b/>
          <w:bCs/>
          <w:sz w:val="24"/>
          <w:szCs w:val="24"/>
          <w:rtl/>
        </w:rPr>
        <w:t xml:space="preserve">ARPU (לפי המשימה): </w:t>
      </w:r>
      <w:r>
        <w:rPr>
          <w:rFonts w:ascii="David" w:cs="David" w:eastAsia="David" w:hAnsi="David"/>
          <w:sz w:val="24"/>
          <w:szCs w:val="24"/>
          <w:rtl/>
        </w:rPr>
        <w:t xml:space="preserve">1,500 ש"ח — הגבוה ביותר מבין שלושת המוצרים</w:t>
      </w:r>
    </w:p>
    <w:p>
      <w:pPr>
        <w:bidi/>
        <w:spacing w:after="120" w:line="320"/>
        <w:jc w:val="right"/>
      </w:pPr>
      <w:r>
        <w:rPr>
          <w:rFonts w:ascii="David" w:cs="David" w:eastAsia="David" w:hAnsi="David"/>
          <w:b/>
          <w:bCs/>
          <w:sz w:val="24"/>
          <w:szCs w:val="24"/>
          <w:rtl/>
        </w:rPr>
        <w:t xml:space="preserve">Activation Rate: </w:t>
      </w:r>
      <w:r>
        <w:rPr>
          <w:rFonts w:ascii="David" w:cs="David" w:eastAsia="David" w:hAnsi="David"/>
          <w:sz w:val="24"/>
          <w:szCs w:val="24"/>
          <w:rtl/>
        </w:rPr>
        <w:t xml:space="preserve">25%</w:t>
      </w:r>
    </w:p>
    <w:p>
      <w:pPr>
        <w:bidi/>
        <w:spacing w:after="120" w:line="320"/>
        <w:jc w:val="right"/>
      </w:pPr>
      <w:r>
        <w:rPr>
          <w:rFonts w:ascii="David" w:cs="David" w:eastAsia="David" w:hAnsi="David"/>
          <w:b/>
          <w:bCs/>
          <w:sz w:val="24"/>
          <w:szCs w:val="24"/>
          <w:rtl/>
        </w:rPr>
        <w:t xml:space="preserve">מחזור מכירה ממוצע: </w:t>
      </w:r>
      <w:r>
        <w:rPr>
          <w:rFonts w:ascii="David" w:cs="David" w:eastAsia="David" w:hAnsi="David"/>
          <w:sz w:val="24"/>
          <w:szCs w:val="24"/>
          <w:rtl/>
        </w:rPr>
        <w:t xml:space="preserve">4 שבועות</w:t>
      </w:r>
    </w:p>
    <w:p>
      <w:pPr>
        <w:bidi/>
        <w:spacing w:after="120" w:line="320"/>
        <w:jc w:val="right"/>
      </w:pPr>
      <w:r>
        <w:rPr>
          <w:rFonts w:ascii="David" w:cs="David" w:eastAsia="David" w:hAnsi="David"/>
          <w:b/>
          <w:bCs/>
          <w:sz w:val="24"/>
          <w:szCs w:val="24"/>
          <w:rtl/>
        </w:rPr>
        <w:t xml:space="preserve">גיאוגרפיה: </w:t>
      </w:r>
      <w:r>
        <w:rPr>
          <w:rFonts w:ascii="David" w:cs="David" w:eastAsia="David" w:hAnsi="David"/>
          <w:sz w:val="24"/>
          <w:szCs w:val="24"/>
          <w:rtl/>
        </w:rPr>
        <w:t xml:space="preserve">ישראל בלבד</w:t>
      </w:r>
    </w:p>
    <w:p>
      <w:pPr>
        <w:bidi/>
        <w:spacing w:after="120" w:line="320"/>
        <w:jc w:val="right"/>
      </w:pPr>
      <w:r>
        <w:rPr>
          <w:rFonts w:ascii="David" w:cs="David" w:eastAsia="David" w:hAnsi="David"/>
          <w:b/>
          <w:bCs/>
          <w:sz w:val="24"/>
          <w:szCs w:val="24"/>
          <w:rtl/>
        </w:rPr>
        <w:t xml:space="preserve">שותפים פוטנציאליים (לפי המשימה): </w:t>
      </w:r>
      <w:r>
        <w:rPr>
          <w:rFonts w:ascii="David" w:cs="David" w:eastAsia="David" w:hAnsi="David"/>
          <w:sz w:val="24"/>
          <w:szCs w:val="24"/>
          <w:rtl/>
        </w:rPr>
        <w:t xml:space="preserve">כל ארגון שמסוגל להפיץ שירותי שיווק</w:t>
      </w:r>
    </w:p>
    <w:p>
      <w:pPr>
        <w:bidi/>
        <w:spacing w:after="120" w:line="320"/>
        <w:jc w:val="right"/>
      </w:pPr>
      <w:r>
        <w:rPr>
          <w:rFonts w:ascii="David" w:cs="David" w:eastAsia="David" w:hAnsi="David"/>
          <w:sz w:val="24"/>
          <w:szCs w:val="24"/>
          <w:rtl/>
        </w:rPr>
        <w:t xml:space="preserve">זה המוצר שהכי פחות מידע ציבורי קיים עליו. עם זאת, ה-ARPU הגבוה (1,500 ש"ח) הופך אותו לנדבך קריטי בהשגת יעד ה-100K MRR: כל עסק שמשתמש ב-Promoter שווה פי 15 מעסק שמשתמש ב-Payments בלבד.</w:t>
      </w:r>
    </w:p>
    <w:p>
      <w:pPr>
        <w:bidi/>
        <w:spacing w:after="120" w:line="320"/>
        <w:jc w:val="right"/>
      </w:pPr>
      <w:r>
        <w:rPr>
          <w:rFonts w:ascii="David" w:cs="David" w:eastAsia="David" w:hAnsi="David"/>
          <w:b/>
          <w:bCs/>
          <w:sz w:val="24"/>
          <w:szCs w:val="24"/>
          <w:rtl/>
        </w:rPr>
        <w:t xml:space="preserve">שותפים רלוונטיים לממוצר זה: </w:t>
      </w:r>
      <w:r>
        <w:rPr>
          <w:rFonts w:ascii="David" w:cs="David" w:eastAsia="David" w:hAnsi="David"/>
          <w:sz w:val="24"/>
          <w:szCs w:val="24"/>
          <w:rtl/>
        </w:rPr>
        <w:t xml:space="preserve">סוכנויות שיווק דיגיטלי, חברות בניית אתרים, רשתות זיכיון, ארגוני מעסיקים, לשכות מסחר, חממות עסקיות, פלטפורמות לניהול עסקים קטנים (כגון Arbox, בייס CRM).</w:t>
      </w:r>
    </w:p>
    <w:p>
      <w:pPr>
        <w:pBdr>
          <w:top w:val="single" w:color="2a5c8e" w:sz="1"/>
          <w:bottom w:val="single" w:color="2a5c8e" w:sz="1"/>
          <w:left w:val="single" w:color="2a5c8e" w:sz="6"/>
          <w:right w:val="single" w:color="2a5c8e" w:sz="1"/>
        </w:pBdr>
        <w:bidi/>
        <w:spacing w:after="200" w:before="200"/>
        <w:jc w:val="right"/>
      </w:pPr>
      <w:r>
        <w:rPr>
          <w:rFonts w:ascii="David" w:cs="David" w:eastAsia="David" w:hAnsi="David"/>
          <w:b/>
          <w:bCs/>
          <w:color w:val="2a5c8e"/>
          <w:sz w:val="22"/>
          <w:szCs w:val="22"/>
          <w:rtl/>
        </w:rPr>
        <w:t xml:space="preserve">תובנת מחקר: </w:t>
      </w:r>
      <w:r>
        <w:rPr>
          <w:rFonts w:ascii="David" w:cs="David" w:eastAsia="David" w:hAnsi="David"/>
          <w:sz w:val="22"/>
          <w:szCs w:val="22"/>
          <w:rtl/>
        </w:rPr>
        <w:t xml:space="preserve">ה-ARPU של 1,500 ש"ח הוא Game Changer. עסק בודד על Promoter שווה כמו 15 עסקים על Payments. אסטרטגיה חכמה צריכה לשלב בין שותפים "כמותיים" (Payments, Accounting עם הרבה עסקים) לבין שותפים "איכותיים" (Promoter עם ARPU גבוה).</w:t>
      </w:r>
    </w:p>
    <w:p>
      <w:r>
        <w:br w:type="page"/>
      </w:r>
    </w:p>
    <w:p>
      <w:pPr>
        <w:pStyle w:val="Heading1"/>
        <w:bidi/>
        <w:spacing w:after="200" w:before="300"/>
        <w:jc w:val="right"/>
      </w:pPr>
      <w:r>
        <w:rPr>
          <w:rFonts w:ascii="David" w:cs="David" w:eastAsia="David" w:hAnsi="David"/>
          <w:b/>
          <w:bCs/>
          <w:color w:val="1a3c5e"/>
          <w:sz w:val="36"/>
          <w:szCs w:val="36"/>
          <w:rtl/>
        </w:rPr>
        <w:t xml:space="preserve">4. מיפוי לקוחות קיימים — Case Studies</w:t>
      </w:r>
    </w:p>
    <w:p>
      <w:pPr>
        <w:pStyle w:val="Heading2"/>
        <w:bidi/>
        <w:spacing w:after="200" w:before="300"/>
        <w:jc w:val="right"/>
      </w:pPr>
      <w:r>
        <w:rPr>
          <w:rFonts w:ascii="David" w:cs="David" w:eastAsia="David" w:hAnsi="David"/>
          <w:b/>
          <w:bCs/>
          <w:color w:val="2a5c8e"/>
          <w:sz w:val="30"/>
          <w:szCs w:val="30"/>
          <w:rtl/>
        </w:rPr>
        <w:t xml:space="preserve">4.1 Wolt — Gig Economy ושליחים</w:t>
      </w:r>
    </w:p>
    <w:p>
      <w:pPr>
        <w:bidi/>
        <w:spacing w:after="120" w:line="320"/>
        <w:jc w:val="right"/>
      </w:pPr>
      <w:r>
        <w:rPr>
          <w:rFonts w:ascii="David" w:cs="David" w:eastAsia="David" w:hAnsi="David"/>
          <w:b/>
          <w:bCs/>
          <w:sz w:val="24"/>
          <w:szCs w:val="24"/>
          <w:rtl/>
        </w:rPr>
        <w:t xml:space="preserve">מי הם: </w:t>
      </w:r>
      <w:r>
        <w:rPr>
          <w:rFonts w:ascii="David" w:cs="David" w:eastAsia="David" w:hAnsi="David"/>
          <w:sz w:val="24"/>
          <w:szCs w:val="24"/>
          <w:rtl/>
        </w:rPr>
        <w:t xml:space="preserve">פלטפורמת משלוחים מובילה (חלק מ-DoorDash), פעילה בישראל עם אלפי שליחים עצמאיים.</w:t>
      </w:r>
    </w:p>
    <w:p>
      <w:pPr>
        <w:bidi/>
        <w:spacing w:after="120" w:line="320"/>
        <w:jc w:val="right"/>
      </w:pPr>
      <w:r>
        <w:rPr>
          <w:rFonts w:ascii="David" w:cs="David" w:eastAsia="David" w:hAnsi="David"/>
          <w:b/>
          <w:bCs/>
          <w:sz w:val="24"/>
          <w:szCs w:val="24"/>
          <w:rtl/>
        </w:rPr>
        <w:t xml:space="preserve">מוצרי PayMe שמשתמשים: </w:t>
      </w:r>
      <w:r>
        <w:rPr>
          <w:rFonts w:ascii="David" w:cs="David" w:eastAsia="David" w:hAnsi="David"/>
          <w:sz w:val="24"/>
          <w:szCs w:val="24"/>
          <w:rtl/>
        </w:rPr>
        <w:t xml:space="preserve">Accounting (פתיחת עוסק, הנהלת חשבונות, דיווח מס), Payments (סליקה, עיבוד תשלומים לשליחים).</w:t>
      </w:r>
    </w:p>
    <w:p>
      <w:pPr>
        <w:bidi/>
        <w:spacing w:after="120" w:line="320"/>
        <w:jc w:val="right"/>
      </w:pPr>
      <w:r>
        <w:rPr>
          <w:rFonts w:ascii="David" w:cs="David" w:eastAsia="David" w:hAnsi="David"/>
          <w:b/>
          <w:bCs/>
          <w:sz w:val="24"/>
          <w:szCs w:val="24"/>
          <w:rtl/>
        </w:rPr>
        <w:t xml:space="preserve">ציטוט מראש תפעול Wolt: </w:t>
      </w:r>
      <w:r>
        <w:rPr>
          <w:rFonts w:ascii="David" w:cs="David" w:eastAsia="David" w:hAnsi="David"/>
          <w:sz w:val="24"/>
          <w:szCs w:val="24"/>
          <w:rtl/>
        </w:rPr>
        <w:t xml:space="preserve">"PayMe enabling our Courier partners to enjoy operating their business requirements with no hassle, from setting up their business to getting bookkeeping &amp; tax compliance as a service — is a game changer for platform workers."</w:t>
      </w:r>
    </w:p>
    <w:p>
      <w:pPr>
        <w:bidi/>
        <w:spacing w:after="120" w:line="320"/>
        <w:jc w:val="right"/>
      </w:pPr>
      <w:r>
        <w:rPr>
          <w:rFonts w:ascii="David" w:cs="David" w:eastAsia="David" w:hAnsi="David"/>
          <w:b/>
          <w:bCs/>
          <w:sz w:val="24"/>
          <w:szCs w:val="24"/>
          <w:rtl/>
        </w:rPr>
        <w:t xml:space="preserve">הלקח: </w:t>
      </w:r>
      <w:r>
        <w:rPr>
          <w:rFonts w:ascii="David" w:cs="David" w:eastAsia="David" w:hAnsi="David"/>
          <w:sz w:val="24"/>
          <w:szCs w:val="24"/>
          <w:rtl/>
        </w:rPr>
        <w:t xml:space="preserve">Wolt היא דוגמה מושלמת למודל Embedded Finance. השליח נרשם ל-Wolt, ו-Wolt מציעה לו כחלק מהתהליך פתיחת עוסק, הנהלת חשבונות ודיווח מס — כולם מסופקים על ידי PayMe, אבל מוצגים מתחת למותג Wolt. השליח לא "קונה" את PayMe — הוא משתמש בשירות של Wolt שמופעל על ידי PayMe.</w:t>
      </w:r>
    </w:p>
    <w:p>
      <w:pPr>
        <w:pBdr>
          <w:top w:val="single" w:color="2a5c8e" w:sz="1"/>
          <w:bottom w:val="single" w:color="2a5c8e" w:sz="1"/>
          <w:left w:val="single" w:color="2a5c8e" w:sz="6"/>
          <w:right w:val="single" w:color="2a5c8e" w:sz="1"/>
        </w:pBdr>
        <w:bidi/>
        <w:spacing w:after="200" w:before="200"/>
        <w:jc w:val="right"/>
      </w:pPr>
      <w:r>
        <w:rPr>
          <w:rFonts w:ascii="David" w:cs="David" w:eastAsia="David" w:hAnsi="David"/>
          <w:b/>
          <w:bCs/>
          <w:color w:val="2a5c8e"/>
          <w:sz w:val="22"/>
          <w:szCs w:val="22"/>
          <w:rtl/>
        </w:rPr>
        <w:t xml:space="preserve">תובנת מחקר: </w:t>
      </w:r>
      <w:r>
        <w:rPr>
          <w:rFonts w:ascii="David" w:cs="David" w:eastAsia="David" w:hAnsi="David"/>
          <w:sz w:val="22"/>
          <w:szCs w:val="22"/>
          <w:rtl/>
        </w:rPr>
        <w:t xml:space="preserve">דפוס Wolt = פלטפורמה שמחייבת עצמאים חדשים (שליחים, נהגים, נותני שירותים) להיות בעלי תיק עוסק. זה מייצר ביקוש מובנה ל-Accounting. כל פלטפורמת Gig Economy בישראל היא שותף פוטנציאלי על אותו מודל.</w:t>
      </w:r>
    </w:p>
    <w:p>
      <w:pPr>
        <w:pStyle w:val="Heading2"/>
        <w:bidi/>
        <w:spacing w:after="200" w:before="300"/>
        <w:jc w:val="right"/>
      </w:pPr>
      <w:r>
        <w:rPr>
          <w:rFonts w:ascii="David" w:cs="David" w:eastAsia="David" w:hAnsi="David"/>
          <w:b/>
          <w:bCs/>
          <w:color w:val="2a5c8e"/>
          <w:sz w:val="30"/>
          <w:szCs w:val="30"/>
          <w:rtl/>
        </w:rPr>
        <w:t xml:space="preserve">4.2 Wix — פלטפורמת בניית אתרים ו-e-Commerce</w:t>
      </w:r>
    </w:p>
    <w:p>
      <w:pPr>
        <w:bidi/>
        <w:spacing w:after="120" w:line="320"/>
        <w:jc w:val="right"/>
      </w:pPr>
      <w:r>
        <w:rPr>
          <w:rFonts w:ascii="David" w:cs="David" w:eastAsia="David" w:hAnsi="David"/>
          <w:b/>
          <w:bCs/>
          <w:sz w:val="24"/>
          <w:szCs w:val="24"/>
          <w:rtl/>
        </w:rPr>
        <w:t xml:space="preserve">מי הם: </w:t>
      </w:r>
      <w:r>
        <w:rPr>
          <w:rFonts w:ascii="David" w:cs="David" w:eastAsia="David" w:hAnsi="David"/>
          <w:sz w:val="24"/>
          <w:szCs w:val="24"/>
          <w:rtl/>
        </w:rPr>
        <w:t xml:space="preserve">חברה ישראלית גלובלית (NASDAQ: WIX), פלטפורמת בניית אתרים מובילה עם מיליוני משתמשים ברחבי העולם.</w:t>
      </w:r>
    </w:p>
    <w:p>
      <w:pPr>
        <w:bidi/>
        <w:spacing w:after="120" w:line="320"/>
        <w:jc w:val="right"/>
      </w:pPr>
      <w:r>
        <w:rPr>
          <w:rFonts w:ascii="David" w:cs="David" w:eastAsia="David" w:hAnsi="David"/>
          <w:b/>
          <w:bCs/>
          <w:sz w:val="24"/>
          <w:szCs w:val="24"/>
          <w:rtl/>
        </w:rPr>
        <w:t xml:space="preserve">מוצר PayMe שמשתמשים: </w:t>
      </w:r>
      <w:r>
        <w:rPr>
          <w:rFonts w:ascii="David" w:cs="David" w:eastAsia="David" w:hAnsi="David"/>
          <w:sz w:val="24"/>
          <w:szCs w:val="24"/>
          <w:rtl/>
        </w:rPr>
        <w:t xml:space="preserve">Payments — סליקה באמצעות "Isracard powered by PayMe" כאחד מאמצעי התשלום לבעלי חנויות Wix.</w:t>
      </w:r>
    </w:p>
    <w:p>
      <w:pPr>
        <w:bidi/>
        <w:spacing w:after="120" w:line="320"/>
        <w:jc w:val="right"/>
      </w:pPr>
      <w:r>
        <w:rPr>
          <w:rFonts w:ascii="David" w:cs="David" w:eastAsia="David" w:hAnsi="David"/>
          <w:b/>
          <w:bCs/>
          <w:sz w:val="24"/>
          <w:szCs w:val="24"/>
          <w:rtl/>
        </w:rPr>
        <w:t xml:space="preserve">אופן ההטמעה: </w:t>
      </w:r>
      <w:r>
        <w:rPr>
          <w:rFonts w:ascii="David" w:cs="David" w:eastAsia="David" w:hAnsi="David"/>
          <w:sz w:val="24"/>
          <w:szCs w:val="24"/>
          <w:rtl/>
        </w:rPr>
        <w:t xml:space="preserve">בעלי חנויות ב-Wix יכולים לחבר את PayMe/Isracard כאמצעי סליקה. התהליך נעשה מתוך Dashboard של Wix, עם חיבור API Key. נתמך: תשלום רגיל, תשלומים חוזרים, תשלומים בתשלומים (2-36), Bit, ריבוי מטבעות (ש"ח, דולר, אירו, ליש"ט).</w:t>
      </w:r>
    </w:p>
    <w:p>
      <w:pPr>
        <w:pBdr>
          <w:top w:val="single" w:color="2a5c8e" w:sz="1"/>
          <w:bottom w:val="single" w:color="2a5c8e" w:sz="1"/>
          <w:left w:val="single" w:color="2a5c8e" w:sz="6"/>
          <w:right w:val="single" w:color="2a5c8e" w:sz="1"/>
        </w:pBdr>
        <w:bidi/>
        <w:spacing w:after="200" w:before="200"/>
        <w:jc w:val="right"/>
      </w:pPr>
      <w:r>
        <w:rPr>
          <w:rFonts w:ascii="David" w:cs="David" w:eastAsia="David" w:hAnsi="David"/>
          <w:b/>
          <w:bCs/>
          <w:color w:val="2a5c8e"/>
          <w:sz w:val="22"/>
          <w:szCs w:val="22"/>
          <w:rtl/>
        </w:rPr>
        <w:t xml:space="preserve">תובנת מחקר: </w:t>
      </w:r>
      <w:r>
        <w:rPr>
          <w:rFonts w:ascii="David" w:cs="David" w:eastAsia="David" w:hAnsi="David"/>
          <w:sz w:val="22"/>
          <w:szCs w:val="22"/>
          <w:rtl/>
        </w:rPr>
        <w:t xml:space="preserve">מודל Wix = פלטפורמת בניית אתרים/e-Commerce שמציעה PayMe כאחד מספקי הסליקה. הדפוס: פלטפורמה עם מרקטפלייס של סוחרים שצריכים לקבל תשלומים. כל פלטפורמת e-Commerce, בילדר אתרים, או מרקטפלייס דומה הוא שותף פוטנציאלי.</w:t>
      </w:r>
    </w:p>
    <w:p>
      <w:pPr>
        <w:pStyle w:val="Heading2"/>
        <w:bidi/>
        <w:spacing w:after="200" w:before="300"/>
        <w:jc w:val="right"/>
      </w:pPr>
      <w:r>
        <w:rPr>
          <w:rFonts w:ascii="David" w:cs="David" w:eastAsia="David" w:hAnsi="David"/>
          <w:b/>
          <w:bCs/>
          <w:color w:val="2a5c8e"/>
          <w:sz w:val="30"/>
          <w:szCs w:val="30"/>
          <w:rtl/>
        </w:rPr>
        <w:t xml:space="preserve">4.3 Shufersal — קמעונאות</w:t>
      </w:r>
    </w:p>
    <w:p>
      <w:pPr>
        <w:bidi/>
        <w:spacing w:after="120" w:line="320"/>
        <w:jc w:val="right"/>
      </w:pPr>
      <w:r>
        <w:rPr>
          <w:rFonts w:ascii="David" w:cs="David" w:eastAsia="David" w:hAnsi="David"/>
          <w:b/>
          <w:bCs/>
          <w:sz w:val="24"/>
          <w:szCs w:val="24"/>
          <w:rtl/>
        </w:rPr>
        <w:t xml:space="preserve">מי הם: </w:t>
      </w:r>
      <w:r>
        <w:rPr>
          <w:rFonts w:ascii="David" w:cs="David" w:eastAsia="David" w:hAnsi="David"/>
          <w:sz w:val="24"/>
          <w:szCs w:val="24"/>
          <w:rtl/>
        </w:rPr>
        <w:t xml:space="preserve">רשת הסופרמרקטים הגדולה בישראל, 316 סניפים, כ-15,500 עובדים, 20% נתח שוק.</w:t>
      </w:r>
    </w:p>
    <w:p>
      <w:pPr>
        <w:bidi/>
        <w:spacing w:after="120" w:line="320"/>
        <w:jc w:val="right"/>
      </w:pPr>
      <w:r>
        <w:rPr>
          <w:rFonts w:ascii="David" w:cs="David" w:eastAsia="David" w:hAnsi="David"/>
          <w:b/>
          <w:bCs/>
          <w:sz w:val="24"/>
          <w:szCs w:val="24"/>
          <w:rtl/>
        </w:rPr>
        <w:t xml:space="preserve">מוצר PayMe שמשתמשים: </w:t>
      </w:r>
      <w:r>
        <w:rPr>
          <w:rFonts w:ascii="David" w:cs="David" w:eastAsia="David" w:hAnsi="David"/>
          <w:sz w:val="24"/>
          <w:szCs w:val="24"/>
          <w:rtl/>
        </w:rPr>
        <w:t xml:space="preserve">Payments — תשתית סליקה טכנולוגית.</w:t>
      </w:r>
    </w:p>
    <w:p>
      <w:pPr>
        <w:bidi/>
        <w:spacing w:after="120" w:line="320"/>
        <w:jc w:val="right"/>
      </w:pPr>
      <w:r>
        <w:rPr>
          <w:rFonts w:ascii="David" w:cs="David" w:eastAsia="David" w:hAnsi="David"/>
          <w:b/>
          <w:bCs/>
          <w:sz w:val="24"/>
          <w:szCs w:val="24"/>
          <w:rtl/>
        </w:rPr>
        <w:t xml:space="preserve">ציטוט מראש מחלקת IT דיגיטל, שופרסל: </w:t>
      </w:r>
      <w:r>
        <w:rPr>
          <w:rFonts w:ascii="David" w:cs="David" w:eastAsia="David" w:hAnsi="David"/>
          <w:sz w:val="24"/>
          <w:szCs w:val="24"/>
          <w:rtl/>
        </w:rPr>
        <w:t xml:space="preserve">"As the largest retailer in Israel, selecting PayMe as our technological payments partner helps us to optimize the checkout experience across our channels while having the ability to scale and support innovative business models."</w:t>
      </w:r>
    </w:p>
    <w:p>
      <w:pPr>
        <w:pBdr>
          <w:top w:val="single" w:color="2a5c8e" w:sz="1"/>
          <w:bottom w:val="single" w:color="2a5c8e" w:sz="1"/>
          <w:left w:val="single" w:color="2a5c8e" w:sz="6"/>
          <w:right w:val="single" w:color="2a5c8e" w:sz="1"/>
        </w:pBdr>
        <w:bidi/>
        <w:spacing w:after="200" w:before="200"/>
        <w:jc w:val="right"/>
      </w:pPr>
      <w:r>
        <w:rPr>
          <w:rFonts w:ascii="David" w:cs="David" w:eastAsia="David" w:hAnsi="David"/>
          <w:b/>
          <w:bCs/>
          <w:color w:val="2a5c8e"/>
          <w:sz w:val="22"/>
          <w:szCs w:val="22"/>
          <w:rtl/>
        </w:rPr>
        <w:t xml:space="preserve">תובנת מחקר: </w:t>
      </w:r>
      <w:r>
        <w:rPr>
          <w:rFonts w:ascii="David" w:cs="David" w:eastAsia="David" w:hAnsi="David"/>
          <w:sz w:val="22"/>
          <w:szCs w:val="22"/>
          <w:rtl/>
        </w:rPr>
        <w:t xml:space="preserve">Shufersal מדגימה את היכולת של PayMe לעבוד עם Enterprise — לא רק עם סטארטאפים. זה חשוב מבחינת Credibility בפנייה לשותפים חדשים.</w:t>
      </w:r>
    </w:p>
    <w:p>
      <w:pPr>
        <w:pStyle w:val="Heading2"/>
        <w:bidi/>
        <w:spacing w:after="200" w:before="300"/>
        <w:jc w:val="right"/>
      </w:pPr>
      <w:r>
        <w:rPr>
          <w:rFonts w:ascii="David" w:cs="David" w:eastAsia="David" w:hAnsi="David"/>
          <w:b/>
          <w:bCs/>
          <w:color w:val="2a5c8e"/>
          <w:sz w:val="30"/>
          <w:szCs w:val="30"/>
          <w:rtl/>
        </w:rPr>
        <w:t xml:space="preserve">4.4 Zester — Restaurant Tech</w:t>
      </w:r>
    </w:p>
    <w:p>
      <w:pPr>
        <w:bidi/>
        <w:spacing w:after="120" w:line="320"/>
        <w:jc w:val="right"/>
      </w:pPr>
      <w:r>
        <w:rPr>
          <w:rFonts w:ascii="David" w:cs="David" w:eastAsia="David" w:hAnsi="David"/>
          <w:b/>
          <w:bCs/>
          <w:sz w:val="24"/>
          <w:szCs w:val="24"/>
          <w:rtl/>
        </w:rPr>
        <w:t xml:space="preserve">מי הם: </w:t>
      </w:r>
      <w:r>
        <w:rPr>
          <w:rFonts w:ascii="David" w:cs="David" w:eastAsia="David" w:hAnsi="David"/>
          <w:sz w:val="24"/>
          <w:szCs w:val="24"/>
          <w:rtl/>
        </w:rPr>
        <w:t xml:space="preserve">פלטפורמה לניהול רכש ותשלומים בענף המסעדנות.</w:t>
      </w:r>
    </w:p>
    <w:p>
      <w:pPr>
        <w:bidi/>
        <w:spacing w:after="120" w:line="320"/>
        <w:jc w:val="right"/>
      </w:pPr>
      <w:r>
        <w:rPr>
          <w:rFonts w:ascii="David" w:cs="David" w:eastAsia="David" w:hAnsi="David"/>
          <w:b/>
          <w:bCs/>
          <w:sz w:val="24"/>
          <w:szCs w:val="24"/>
          <w:rtl/>
        </w:rPr>
        <w:t xml:space="preserve">מוצר PayMe שמשתמשים: </w:t>
      </w:r>
      <w:r>
        <w:rPr>
          <w:rFonts w:ascii="David" w:cs="David" w:eastAsia="David" w:hAnsi="David"/>
          <w:sz w:val="24"/>
          <w:szCs w:val="24"/>
          <w:rtl/>
        </w:rPr>
        <w:t xml:space="preserve">Payments — תשלומים לספקים עם תנאי נט (Net Terms) בלחיצה אחת.</w:t>
      </w:r>
    </w:p>
    <w:p>
      <w:pPr>
        <w:bidi/>
        <w:spacing w:after="120" w:line="320"/>
        <w:jc w:val="right"/>
      </w:pPr>
      <w:r>
        <w:rPr>
          <w:rFonts w:ascii="David" w:cs="David" w:eastAsia="David" w:hAnsi="David"/>
          <w:sz w:val="24"/>
          <w:szCs w:val="24"/>
          <w:rtl/>
        </w:rPr>
        <w:t xml:space="preserve">השותפות עם Zester מדגימה כיוון נוסף: לא רק סליקה מלקוח קצה, אלא גם תשלומים B2B בתוך שרשרת אספקה. מסעדה שמשתמשת ב-Zester יכולה לשלם לספקים עם תנאי אשראי, כשהתשתית הפיננסית מסופקת על ידי PayMe.</w:t>
      </w:r>
    </w:p>
    <w:p>
      <w:pPr>
        <w:pBdr>
          <w:top w:val="single" w:color="2a5c8e" w:sz="1"/>
          <w:bottom w:val="single" w:color="2a5c8e" w:sz="1"/>
          <w:left w:val="single" w:color="2a5c8e" w:sz="6"/>
          <w:right w:val="single" w:color="2a5c8e" w:sz="1"/>
        </w:pBdr>
        <w:bidi/>
        <w:spacing w:after="200" w:before="200"/>
        <w:jc w:val="right"/>
      </w:pPr>
      <w:r>
        <w:rPr>
          <w:rFonts w:ascii="David" w:cs="David" w:eastAsia="David" w:hAnsi="David"/>
          <w:b/>
          <w:bCs/>
          <w:color w:val="2a5c8e"/>
          <w:sz w:val="22"/>
          <w:szCs w:val="22"/>
          <w:rtl/>
        </w:rPr>
        <w:t xml:space="preserve">תובנת מחקר: </w:t>
      </w:r>
      <w:r>
        <w:rPr>
          <w:rFonts w:ascii="David" w:cs="David" w:eastAsia="David" w:hAnsi="David"/>
          <w:sz w:val="22"/>
          <w:szCs w:val="22"/>
          <w:rtl/>
        </w:rPr>
        <w:t xml:space="preserve">Zester מציגה פוטנציאל ב-Vertical-Specific Platforms: פלטפורמות שמשרתות ורטיקל ספציפי (מסעדות, בנייה, רפואה) ומשלבות תשלומים כחלק מהתהליך העסקי. כל ורטיקל כזה יכול להיות סגמנט שותפים.</w:t>
      </w:r>
    </w:p>
    <w:p>
      <w:r>
        <w:br w:type="page"/>
      </w:r>
    </w:p>
    <w:p>
      <w:pPr>
        <w:pStyle w:val="Heading1"/>
        <w:bidi/>
        <w:spacing w:after="200" w:before="300"/>
        <w:jc w:val="right"/>
      </w:pPr>
      <w:r>
        <w:rPr>
          <w:rFonts w:ascii="David" w:cs="David" w:eastAsia="David" w:hAnsi="David"/>
          <w:b/>
          <w:bCs/>
          <w:color w:val="1a3c5e"/>
          <w:sz w:val="36"/>
          <w:szCs w:val="36"/>
          <w:rtl/>
        </w:rPr>
        <w:t xml:space="preserve">5. זיהוי דפוסים — מה המכנה המשותף בין הלקוחות</w:t>
      </w:r>
    </w:p>
    <w:p>
      <w:pPr>
        <w:bidi/>
        <w:spacing w:after="120" w:line="320"/>
        <w:jc w:val="right"/>
      </w:pPr>
      <w:r>
        <w:rPr>
          <w:rFonts w:ascii="David" w:cs="David" w:eastAsia="David" w:hAnsi="David"/>
          <w:sz w:val="24"/>
          <w:szCs w:val="24"/>
          <w:rtl/>
        </w:rPr>
        <w:t xml:space="preserve">מניתוח ארבעת הלקוחות הקיימים (Wolt, Wix, Shufersal, Zester) עולים שלושה דפוסים מרכזיים:</w:t>
      </w:r>
    </w:p>
    <w:p>
      <w:pPr>
        <w:pStyle w:val="Heading3"/>
        <w:bidi/>
        <w:spacing w:after="200" w:before="300"/>
        <w:jc w:val="right"/>
      </w:pPr>
      <w:r>
        <w:rPr>
          <w:rFonts w:ascii="David" w:cs="David" w:eastAsia="David" w:hAnsi="David"/>
          <w:b/>
          <w:bCs/>
          <w:color w:val="333333"/>
          <w:sz w:val="26"/>
          <w:szCs w:val="26"/>
          <w:rtl/>
        </w:rPr>
        <w:t xml:space="preserve">דפוס 1: "פלטפורמה שמחזיקה עסקים קטנים"</w:t>
      </w:r>
    </w:p>
    <w:p>
      <w:pPr>
        <w:bidi/>
        <w:spacing w:after="120" w:line="320"/>
        <w:jc w:val="right"/>
      </w:pPr>
      <w:r>
        <w:rPr>
          <w:rFonts w:ascii="David" w:cs="David" w:eastAsia="David" w:hAnsi="David"/>
          <w:sz w:val="24"/>
          <w:szCs w:val="24"/>
          <w:rtl/>
        </w:rPr>
        <w:t xml:space="preserve">הפלטפורמה כבר משרתת אלפי עסקים קטנים. העסקים האלה צריכים שירותים פיננסיים (סליקה, חשבוניות, הנהלת חשבונות) אבל הפלטפורמה לא בנתה אותם בעצמה. PayMe מספקת את התשתית כ-White Label.</w:t>
      </w:r>
    </w:p>
    <w:p>
      <w:pPr>
        <w:bidi/>
        <w:spacing w:after="120" w:line="320"/>
        <w:jc w:val="right"/>
      </w:pPr>
      <w:r>
        <w:rPr>
          <w:rFonts w:ascii="David" w:cs="David" w:eastAsia="David" w:hAnsi="David"/>
          <w:b/>
          <w:bCs/>
          <w:sz w:val="24"/>
          <w:szCs w:val="24"/>
          <w:rtl/>
        </w:rPr>
        <w:t xml:space="preserve">דוגמאות: </w:t>
      </w:r>
      <w:r>
        <w:rPr>
          <w:rFonts w:ascii="David" w:cs="David" w:eastAsia="David" w:hAnsi="David"/>
          <w:sz w:val="24"/>
          <w:szCs w:val="24"/>
          <w:rtl/>
        </w:rPr>
        <w:t xml:space="preserve">Wix, Arbox, בייס CRM, Plannie, Scalla CRM</w:t>
      </w:r>
    </w:p>
    <w:p>
      <w:pPr>
        <w:pStyle w:val="Heading3"/>
        <w:bidi/>
        <w:spacing w:after="200" w:before="300"/>
        <w:jc w:val="right"/>
      </w:pPr>
      <w:r>
        <w:rPr>
          <w:rFonts w:ascii="David" w:cs="David" w:eastAsia="David" w:hAnsi="David"/>
          <w:b/>
          <w:bCs/>
          <w:color w:val="333333"/>
          <w:sz w:val="26"/>
          <w:szCs w:val="26"/>
          <w:rtl/>
        </w:rPr>
        <w:t xml:space="preserve">דפוס 2: "פלטפורמה שמייצרת עצמאיים חדשים"</w:t>
      </w:r>
    </w:p>
    <w:p>
      <w:pPr>
        <w:bidi/>
        <w:spacing w:after="120" w:line="320"/>
        <w:jc w:val="right"/>
      </w:pPr>
      <w:r>
        <w:rPr>
          <w:rFonts w:ascii="David" w:cs="David" w:eastAsia="David" w:hAnsi="David"/>
          <w:sz w:val="24"/>
          <w:szCs w:val="24"/>
          <w:rtl/>
        </w:rPr>
        <w:t xml:space="preserve">הפלטפורמה מאפשרת לאנשים להפוך לעצמאיים (שליחים, מאמנים, נותני שירותים). האנשים האלה צריכים פתיחת עוסק, חשבוניות ודיווח מס. PayMe מספקת את המעטפת הפיננסית-רגולטורית.</w:t>
      </w:r>
    </w:p>
    <w:p>
      <w:pPr>
        <w:bidi/>
        <w:spacing w:after="120" w:line="320"/>
        <w:jc w:val="right"/>
      </w:pPr>
      <w:r>
        <w:rPr>
          <w:rFonts w:ascii="David" w:cs="David" w:eastAsia="David" w:hAnsi="David"/>
          <w:b/>
          <w:bCs/>
          <w:sz w:val="24"/>
          <w:szCs w:val="24"/>
          <w:rtl/>
        </w:rPr>
        <w:t xml:space="preserve">דוגמאות: </w:t>
      </w:r>
      <w:r>
        <w:rPr>
          <w:rFonts w:ascii="David" w:cs="David" w:eastAsia="David" w:hAnsi="David"/>
          <w:sz w:val="24"/>
          <w:szCs w:val="24"/>
          <w:rtl/>
        </w:rPr>
        <w:t xml:space="preserve">Wolt, Gett (נהגים), פלטפורמות Gig Economy, פלטפורמות ליוצרי תוכן</w:t>
      </w:r>
    </w:p>
    <w:p>
      <w:pPr>
        <w:pStyle w:val="Heading3"/>
        <w:bidi/>
        <w:spacing w:after="200" w:before="300"/>
        <w:jc w:val="right"/>
      </w:pPr>
      <w:r>
        <w:rPr>
          <w:rFonts w:ascii="David" w:cs="David" w:eastAsia="David" w:hAnsi="David"/>
          <w:b/>
          <w:bCs/>
          <w:color w:val="333333"/>
          <w:sz w:val="26"/>
          <w:szCs w:val="26"/>
          <w:rtl/>
        </w:rPr>
        <w:t xml:space="preserve">דפוס 3: "ורטיקל ספציפי עם צורך בתשלומים מוטמעים"</w:t>
      </w:r>
    </w:p>
    <w:p>
      <w:pPr>
        <w:bidi/>
        <w:spacing w:after="120" w:line="320"/>
        <w:jc w:val="right"/>
      </w:pPr>
      <w:r>
        <w:rPr>
          <w:rFonts w:ascii="David" w:cs="David" w:eastAsia="David" w:hAnsi="David"/>
          <w:sz w:val="24"/>
          <w:szCs w:val="24"/>
          <w:rtl/>
        </w:rPr>
        <w:t xml:space="preserve">ורטיקל שלם (מסעדות, בנייה, רפואה, כושר) שבו הפלטפורמה הורטיקלית צריכה להציע גם שירותים פיננסיים כדי להשלים את ה-Value Proposition שלה.</w:t>
      </w:r>
    </w:p>
    <w:p>
      <w:pPr>
        <w:bidi/>
        <w:spacing w:after="120" w:line="320"/>
        <w:jc w:val="right"/>
      </w:pPr>
      <w:r>
        <w:rPr>
          <w:rFonts w:ascii="David" w:cs="David" w:eastAsia="David" w:hAnsi="David"/>
          <w:b/>
          <w:bCs/>
          <w:sz w:val="24"/>
          <w:szCs w:val="24"/>
          <w:rtl/>
        </w:rPr>
        <w:t xml:space="preserve">דוגמאות: </w:t>
      </w:r>
      <w:r>
        <w:rPr>
          <w:rFonts w:ascii="David" w:cs="David" w:eastAsia="David" w:hAnsi="David"/>
          <w:sz w:val="24"/>
          <w:szCs w:val="24"/>
          <w:rtl/>
        </w:rPr>
        <w:t xml:space="preserve">Zester (מסעדות), Arbox (כושר/יופי), Plannie (תורים/קליניקות)</w:t>
      </w:r>
    </w:p>
    <w:p>
      <w:pPr>
        <w:pBdr>
          <w:top w:val="single" w:color="2a5c8e" w:sz="1"/>
          <w:bottom w:val="single" w:color="2a5c8e" w:sz="1"/>
          <w:left w:val="single" w:color="2a5c8e" w:sz="6"/>
          <w:right w:val="single" w:color="2a5c8e" w:sz="1"/>
        </w:pBdr>
        <w:bidi/>
        <w:spacing w:after="200" w:before="200"/>
        <w:jc w:val="right"/>
      </w:pPr>
      <w:r>
        <w:rPr>
          <w:rFonts w:ascii="David" w:cs="David" w:eastAsia="David" w:hAnsi="David"/>
          <w:b/>
          <w:bCs/>
          <w:color w:val="2a5c8e"/>
          <w:sz w:val="22"/>
          <w:szCs w:val="22"/>
          <w:rtl/>
        </w:rPr>
        <w:t xml:space="preserve">תובנת מחקר: </w:t>
      </w:r>
      <w:r>
        <w:rPr>
          <w:rFonts w:ascii="David" w:cs="David" w:eastAsia="David" w:hAnsi="David"/>
          <w:sz w:val="22"/>
          <w:szCs w:val="22"/>
          <w:rtl/>
        </w:rPr>
        <w:t xml:space="preserve">שלושת הדפוסים האלה הם "מסנני" הבחירה של שותפים. כל שותף פוטנציאלי צריך להתאים לפחות לאחד מהם. אם לא — כנראה לא רלוונטי.</w:t>
      </w:r>
    </w:p>
    <w:p>
      <w:r>
        <w:br w:type="page"/>
      </w:r>
    </w:p>
    <w:p>
      <w:pPr>
        <w:pStyle w:val="Heading1"/>
        <w:bidi/>
        <w:spacing w:after="200" w:before="300"/>
        <w:jc w:val="right"/>
      </w:pPr>
      <w:r>
        <w:rPr>
          <w:rFonts w:ascii="David" w:cs="David" w:eastAsia="David" w:hAnsi="David"/>
          <w:b/>
          <w:bCs/>
          <w:color w:val="1a3c5e"/>
          <w:sz w:val="36"/>
          <w:szCs w:val="36"/>
          <w:rtl/>
        </w:rPr>
        <w:t xml:space="preserve">6. מפת סגמנטים — קטגוריות שותפים פוטנציאליים</w:t>
      </w:r>
    </w:p>
    <w:p>
      <w:pPr>
        <w:bidi/>
        <w:spacing w:after="120" w:line="320"/>
        <w:jc w:val="right"/>
      </w:pPr>
      <w:r>
        <w:rPr>
          <w:rFonts w:ascii="David" w:cs="David" w:eastAsia="David" w:hAnsi="David"/>
          <w:sz w:val="24"/>
          <w:szCs w:val="24"/>
          <w:rtl/>
        </w:rPr>
        <w:t xml:space="preserve">להלן מיפוי של הסגמנטים המרכזיים לשותפויות, מחולקים לפי דחיפות ופוטנציאל:</w:t>
      </w:r>
    </w:p>
    <w:p>
      <w:pPr>
        <w:pStyle w:val="Heading2"/>
        <w:bidi/>
        <w:spacing w:after="200" w:before="300"/>
        <w:jc w:val="right"/>
      </w:pPr>
      <w:r>
        <w:rPr>
          <w:rFonts w:ascii="David" w:cs="David" w:eastAsia="David" w:hAnsi="David"/>
          <w:b/>
          <w:bCs/>
          <w:color w:val="2a5c8e"/>
          <w:sz w:val="30"/>
          <w:szCs w:val="30"/>
          <w:rtl/>
        </w:rPr>
        <w:t xml:space="preserve">Tier 1 — עדיפות גבוהה (פוטנציאל מיידי, Fit גבוה)</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shd w:fill="1a3c5e" w:val="clear"/>
          </w:tcPr>
          <w:p>
            <w:pPr>
              <w:bidi/>
              <w:spacing w:after="40" w:before="40"/>
              <w:jc w:val="right"/>
            </w:pPr>
            <w:r>
              <w:rPr>
                <w:rFonts w:ascii="David" w:cs="David" w:eastAsia="David" w:hAnsi="David"/>
                <w:b/>
                <w:bCs/>
                <w:color w:val="ffffff"/>
                <w:sz w:val="20"/>
                <w:szCs w:val="20"/>
                <w:rtl/>
              </w:rPr>
              <w:t xml:space="preserve">סגמנט</w:t>
            </w:r>
          </w:p>
        </w:tc>
        <w:tc>
          <w:tcPr>
            <w:tcW w:type="dxa" w:w="2400"/>
            <w:shd w:fill="1a3c5e" w:val="clear"/>
          </w:tcPr>
          <w:p>
            <w:pPr>
              <w:bidi/>
              <w:spacing w:after="40" w:before="40"/>
              <w:jc w:val="right"/>
            </w:pPr>
            <w:r>
              <w:rPr>
                <w:rFonts w:ascii="David" w:cs="David" w:eastAsia="David" w:hAnsi="David"/>
                <w:b/>
                <w:bCs/>
                <w:color w:val="ffffff"/>
                <w:sz w:val="20"/>
                <w:szCs w:val="20"/>
                <w:rtl/>
              </w:rPr>
              <w:t xml:space="preserve">מוצרים רלוונטיים</w:t>
            </w:r>
          </w:p>
        </w:tc>
        <w:tc>
          <w:tcPr>
            <w:tcW w:type="dxa" w:w="2400"/>
            <w:shd w:fill="1a3c5e" w:val="clear"/>
          </w:tcPr>
          <w:p>
            <w:pPr>
              <w:bidi/>
              <w:spacing w:after="40" w:before="40"/>
              <w:jc w:val="right"/>
            </w:pPr>
            <w:r>
              <w:rPr>
                <w:rFonts w:ascii="David" w:cs="David" w:eastAsia="David" w:hAnsi="David"/>
                <w:b/>
                <w:bCs/>
                <w:color w:val="ffffff"/>
                <w:sz w:val="20"/>
                <w:szCs w:val="20"/>
                <w:rtl/>
              </w:rPr>
              <w:t xml:space="preserve">דוגמאות שותפים</w:t>
            </w:r>
          </w:p>
        </w:tc>
        <w:tc>
          <w:tcPr>
            <w:tcW w:type="dxa" w:w="2400"/>
            <w:shd w:fill="1a3c5e" w:val="clear"/>
          </w:tcPr>
          <w:p>
            <w:pPr>
              <w:bidi/>
              <w:spacing w:after="40" w:before="40"/>
              <w:jc w:val="right"/>
            </w:pPr>
            <w:r>
              <w:rPr>
                <w:rFonts w:ascii="David" w:cs="David" w:eastAsia="David" w:hAnsi="David"/>
                <w:b/>
                <w:bCs/>
                <w:color w:val="ffffff"/>
                <w:sz w:val="20"/>
                <w:szCs w:val="20"/>
                <w:rtl/>
              </w:rPr>
              <w:t xml:space="preserve">הערכת כמות עסקים</w:t>
            </w:r>
          </w:p>
        </w:tc>
      </w:tr>
      <w:tr>
        <w:tc>
          <w:tcPr>
            <w:tcW w:type="dxa" w:w="2400"/>
          </w:tcPr>
          <w:p>
            <w:pPr>
              <w:bidi/>
              <w:spacing w:after="40" w:before="40"/>
              <w:jc w:val="right"/>
            </w:pPr>
            <w:r>
              <w:rPr>
                <w:rFonts w:ascii="David" w:cs="David" w:eastAsia="David" w:hAnsi="David"/>
                <w:b w:val="false"/>
                <w:bCs w:val="false"/>
                <w:color w:val="333333"/>
                <w:sz w:val="20"/>
                <w:szCs w:val="20"/>
                <w:rtl/>
              </w:rPr>
              <w:t xml:space="preserve">Gig Economy / Delivery</w:t>
            </w:r>
          </w:p>
        </w:tc>
        <w:tc>
          <w:tcPr>
            <w:tcW w:type="dxa" w:w="2400"/>
          </w:tcPr>
          <w:p>
            <w:pPr>
              <w:bidi/>
              <w:spacing w:after="40" w:before="40"/>
              <w:jc w:val="right"/>
            </w:pPr>
            <w:r>
              <w:rPr>
                <w:rFonts w:ascii="David" w:cs="David" w:eastAsia="David" w:hAnsi="David"/>
                <w:b w:val="false"/>
                <w:bCs w:val="false"/>
                <w:color w:val="333333"/>
                <w:sz w:val="20"/>
                <w:szCs w:val="20"/>
                <w:rtl/>
              </w:rPr>
              <w:t xml:space="preserve">Accounting + Payments</w:t>
            </w:r>
          </w:p>
        </w:tc>
        <w:tc>
          <w:tcPr>
            <w:tcW w:type="dxa" w:w="2400"/>
          </w:tcPr>
          <w:p>
            <w:pPr>
              <w:bidi/>
              <w:spacing w:after="40" w:before="40"/>
              <w:jc w:val="right"/>
            </w:pPr>
            <w:r>
              <w:rPr>
                <w:rFonts w:ascii="David" w:cs="David" w:eastAsia="David" w:hAnsi="David"/>
                <w:b w:val="false"/>
                <w:bCs w:val="false"/>
                <w:color w:val="333333"/>
                <w:sz w:val="20"/>
                <w:szCs w:val="20"/>
                <w:rtl/>
              </w:rPr>
              <w:t xml:space="preserve">Gett, 10bis/Wolt Market, מישלוחה, GetPaid</w:t>
            </w:r>
          </w:p>
        </w:tc>
        <w:tc>
          <w:tcPr>
            <w:tcW w:type="dxa" w:w="2400"/>
          </w:tcPr>
          <w:p>
            <w:pPr>
              <w:bidi/>
              <w:spacing w:after="40" w:before="40"/>
              <w:jc w:val="right"/>
            </w:pPr>
            <w:r>
              <w:rPr>
                <w:rFonts w:ascii="David" w:cs="David" w:eastAsia="David" w:hAnsi="David"/>
                <w:b w:val="false"/>
                <w:bCs w:val="false"/>
                <w:color w:val="333333"/>
                <w:sz w:val="20"/>
                <w:szCs w:val="20"/>
                <w:rtl/>
              </w:rPr>
              <w:t xml:space="preserve">10,000-50,000 שליחים/נהגים</w:t>
            </w:r>
          </w:p>
        </w:tc>
      </w:tr>
      <w:tr>
        <w:tc>
          <w:tcPr>
            <w:tcW w:type="dxa" w:w="2400"/>
          </w:tcPr>
          <w:p>
            <w:pPr>
              <w:bidi/>
              <w:spacing w:after="40" w:before="40"/>
              <w:jc w:val="right"/>
            </w:pPr>
            <w:r>
              <w:rPr>
                <w:rFonts w:ascii="David" w:cs="David" w:eastAsia="David" w:hAnsi="David"/>
                <w:b w:val="false"/>
                <w:bCs w:val="false"/>
                <w:color w:val="333333"/>
                <w:sz w:val="20"/>
                <w:szCs w:val="20"/>
                <w:rtl/>
              </w:rPr>
              <w:t xml:space="preserve">בניית אתרים / e-Commerce</w:t>
            </w:r>
          </w:p>
        </w:tc>
        <w:tc>
          <w:tcPr>
            <w:tcW w:type="dxa" w:w="2400"/>
          </w:tcPr>
          <w:p>
            <w:pPr>
              <w:bidi/>
              <w:spacing w:after="40" w:before="40"/>
              <w:jc w:val="right"/>
            </w:pPr>
            <w:r>
              <w:rPr>
                <w:rFonts w:ascii="David" w:cs="David" w:eastAsia="David" w:hAnsi="David"/>
                <w:b w:val="false"/>
                <w:bCs w:val="false"/>
                <w:color w:val="333333"/>
                <w:sz w:val="20"/>
                <w:szCs w:val="20"/>
                <w:rtl/>
              </w:rPr>
              <w:t xml:space="preserve">Payments</w:t>
            </w:r>
          </w:p>
        </w:tc>
        <w:tc>
          <w:tcPr>
            <w:tcW w:type="dxa" w:w="2400"/>
          </w:tcPr>
          <w:p>
            <w:pPr>
              <w:bidi/>
              <w:spacing w:after="40" w:before="40"/>
              <w:jc w:val="right"/>
            </w:pPr>
            <w:r>
              <w:rPr>
                <w:rFonts w:ascii="David" w:cs="David" w:eastAsia="David" w:hAnsi="David"/>
                <w:b w:val="false"/>
                <w:bCs w:val="false"/>
                <w:color w:val="333333"/>
                <w:sz w:val="20"/>
                <w:szCs w:val="20"/>
                <w:rtl/>
              </w:rPr>
              <w:t xml:space="preserve">Shopify (IL), WooCommerce integrators, קונימבו</w:t>
            </w:r>
          </w:p>
        </w:tc>
        <w:tc>
          <w:tcPr>
            <w:tcW w:type="dxa" w:w="2400"/>
          </w:tcPr>
          <w:p>
            <w:pPr>
              <w:bidi/>
              <w:spacing w:after="40" w:before="40"/>
              <w:jc w:val="right"/>
            </w:pPr>
            <w:r>
              <w:rPr>
                <w:rFonts w:ascii="David" w:cs="David" w:eastAsia="David" w:hAnsi="David"/>
                <w:b w:val="false"/>
                <w:bCs w:val="false"/>
                <w:color w:val="333333"/>
                <w:sz w:val="20"/>
                <w:szCs w:val="20"/>
                <w:rtl/>
              </w:rPr>
              <w:t xml:space="preserve">עשרות אלפי סוחרים</w:t>
            </w:r>
          </w:p>
        </w:tc>
      </w:tr>
      <w:tr>
        <w:tc>
          <w:tcPr>
            <w:tcW w:type="dxa" w:w="2400"/>
          </w:tcPr>
          <w:p>
            <w:pPr>
              <w:bidi/>
              <w:spacing w:after="40" w:before="40"/>
              <w:jc w:val="right"/>
            </w:pPr>
            <w:r>
              <w:rPr>
                <w:rFonts w:ascii="David" w:cs="David" w:eastAsia="David" w:hAnsi="David"/>
                <w:b w:val="false"/>
                <w:bCs w:val="false"/>
                <w:color w:val="333333"/>
                <w:sz w:val="20"/>
                <w:szCs w:val="20"/>
                <w:rtl/>
              </w:rPr>
              <w:t xml:space="preserve">CRM / ניהול עסקים קטנים (IL)</w:t>
            </w:r>
          </w:p>
        </w:tc>
        <w:tc>
          <w:tcPr>
            <w:tcW w:type="dxa" w:w="2400"/>
          </w:tcPr>
          <w:p>
            <w:pPr>
              <w:bidi/>
              <w:spacing w:after="40" w:before="40"/>
              <w:jc w:val="right"/>
            </w:pPr>
            <w:r>
              <w:rPr>
                <w:rFonts w:ascii="David" w:cs="David" w:eastAsia="David" w:hAnsi="David"/>
                <w:b w:val="false"/>
                <w:bCs w:val="false"/>
                <w:color w:val="333333"/>
                <w:sz w:val="20"/>
                <w:szCs w:val="20"/>
                <w:rtl/>
              </w:rPr>
              <w:t xml:space="preserve">Payments + Accounting + Promoter</w:t>
            </w:r>
          </w:p>
        </w:tc>
        <w:tc>
          <w:tcPr>
            <w:tcW w:type="dxa" w:w="2400"/>
          </w:tcPr>
          <w:p>
            <w:pPr>
              <w:bidi/>
              <w:spacing w:after="40" w:before="40"/>
              <w:jc w:val="right"/>
            </w:pPr>
            <w:r>
              <w:rPr>
                <w:rFonts w:ascii="David" w:cs="David" w:eastAsia="David" w:hAnsi="David"/>
                <w:b w:val="false"/>
                <w:bCs w:val="false"/>
                <w:color w:val="333333"/>
                <w:sz w:val="20"/>
                <w:szCs w:val="20"/>
                <w:rtl/>
              </w:rPr>
              <w:t xml:space="preserve">Arbox, בייס CRM, Scalla, LeadMeCMS, WeTech</w:t>
            </w:r>
          </w:p>
        </w:tc>
        <w:tc>
          <w:tcPr>
            <w:tcW w:type="dxa" w:w="2400"/>
          </w:tcPr>
          <w:p>
            <w:pPr>
              <w:bidi/>
              <w:spacing w:after="40" w:before="40"/>
              <w:jc w:val="right"/>
            </w:pPr>
            <w:r>
              <w:rPr>
                <w:rFonts w:ascii="David" w:cs="David" w:eastAsia="David" w:hAnsi="David"/>
                <w:b w:val="false"/>
                <w:bCs w:val="false"/>
                <w:color w:val="333333"/>
                <w:sz w:val="20"/>
                <w:szCs w:val="20"/>
                <w:rtl/>
              </w:rPr>
              <w:t xml:space="preserve">5,000-80,000 עסקים לפלטפורמה</w:t>
            </w:r>
          </w:p>
        </w:tc>
      </w:tr>
      <w:tr>
        <w:tc>
          <w:tcPr>
            <w:tcW w:type="dxa" w:w="2400"/>
          </w:tcPr>
          <w:p>
            <w:pPr>
              <w:bidi/>
              <w:spacing w:after="40" w:before="40"/>
              <w:jc w:val="right"/>
            </w:pPr>
            <w:r>
              <w:rPr>
                <w:rFonts w:ascii="David" w:cs="David" w:eastAsia="David" w:hAnsi="David"/>
                <w:b w:val="false"/>
                <w:bCs w:val="false"/>
                <w:color w:val="333333"/>
                <w:sz w:val="20"/>
                <w:szCs w:val="20"/>
                <w:rtl/>
              </w:rPr>
              <w:t xml:space="preserve">סוכנויות שיווק דיגיטלי</w:t>
            </w:r>
          </w:p>
        </w:tc>
        <w:tc>
          <w:tcPr>
            <w:tcW w:type="dxa" w:w="2400"/>
          </w:tcPr>
          <w:p>
            <w:pPr>
              <w:bidi/>
              <w:spacing w:after="40" w:before="40"/>
              <w:jc w:val="right"/>
            </w:pPr>
            <w:r>
              <w:rPr>
                <w:rFonts w:ascii="David" w:cs="David" w:eastAsia="David" w:hAnsi="David"/>
                <w:b w:val="false"/>
                <w:bCs w:val="false"/>
                <w:color w:val="333333"/>
                <w:sz w:val="20"/>
                <w:szCs w:val="20"/>
                <w:rtl/>
              </w:rPr>
              <w:t xml:space="preserve">Promoter</w:t>
            </w:r>
          </w:p>
        </w:tc>
        <w:tc>
          <w:tcPr>
            <w:tcW w:type="dxa" w:w="2400"/>
          </w:tcPr>
          <w:p>
            <w:pPr>
              <w:bidi/>
              <w:spacing w:after="40" w:before="40"/>
              <w:jc w:val="right"/>
            </w:pPr>
            <w:r>
              <w:rPr>
                <w:rFonts w:ascii="David" w:cs="David" w:eastAsia="David" w:hAnsi="David"/>
                <w:b w:val="false"/>
                <w:bCs w:val="false"/>
                <w:color w:val="333333"/>
                <w:sz w:val="20"/>
                <w:szCs w:val="20"/>
                <w:rtl/>
              </w:rPr>
              <w:t xml:space="preserve">סוכנויות ישראליות בינוניות-גדולות</w:t>
            </w:r>
          </w:p>
        </w:tc>
        <w:tc>
          <w:tcPr>
            <w:tcW w:type="dxa" w:w="2400"/>
          </w:tcPr>
          <w:p>
            <w:pPr>
              <w:bidi/>
              <w:spacing w:after="40" w:before="40"/>
              <w:jc w:val="right"/>
            </w:pPr>
            <w:r>
              <w:rPr>
                <w:rFonts w:ascii="David" w:cs="David" w:eastAsia="David" w:hAnsi="David"/>
                <w:b w:val="false"/>
                <w:bCs w:val="false"/>
                <w:color w:val="333333"/>
                <w:sz w:val="20"/>
                <w:szCs w:val="20"/>
                <w:rtl/>
              </w:rPr>
              <w:t xml:space="preserve">50-500 לקוחות/סוכנות</w:t>
            </w:r>
          </w:p>
        </w:tc>
      </w:tr>
    </w:tbl>
    <w:p>
      <w:pPr>
        <w:spacing w:after="200"/>
      </w:pPr>
    </w:p>
    <w:p>
      <w:pPr>
        <w:pStyle w:val="Heading2"/>
        <w:bidi/>
        <w:spacing w:after="200" w:before="300"/>
        <w:jc w:val="right"/>
      </w:pPr>
      <w:r>
        <w:rPr>
          <w:rFonts w:ascii="David" w:cs="David" w:eastAsia="David" w:hAnsi="David"/>
          <w:b/>
          <w:bCs/>
          <w:color w:val="2a5c8e"/>
          <w:sz w:val="30"/>
          <w:szCs w:val="30"/>
          <w:rtl/>
        </w:rPr>
        <w:t xml:space="preserve">Tier 2 — עדיפות בינונית (פוטנציאל גבוה, מחזור סגירה ארוך יותר)</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shd w:fill="1a3c5e" w:val="clear"/>
          </w:tcPr>
          <w:p>
            <w:pPr>
              <w:bidi/>
              <w:spacing w:after="40" w:before="40"/>
              <w:jc w:val="right"/>
            </w:pPr>
            <w:r>
              <w:rPr>
                <w:rFonts w:ascii="David" w:cs="David" w:eastAsia="David" w:hAnsi="David"/>
                <w:b/>
                <w:bCs/>
                <w:color w:val="ffffff"/>
                <w:sz w:val="20"/>
                <w:szCs w:val="20"/>
                <w:rtl/>
              </w:rPr>
              <w:t xml:space="preserve">סגמנט</w:t>
            </w:r>
          </w:p>
        </w:tc>
        <w:tc>
          <w:tcPr>
            <w:tcW w:type="dxa" w:w="2400"/>
            <w:shd w:fill="1a3c5e" w:val="clear"/>
          </w:tcPr>
          <w:p>
            <w:pPr>
              <w:bidi/>
              <w:spacing w:after="40" w:before="40"/>
              <w:jc w:val="right"/>
            </w:pPr>
            <w:r>
              <w:rPr>
                <w:rFonts w:ascii="David" w:cs="David" w:eastAsia="David" w:hAnsi="David"/>
                <w:b/>
                <w:bCs/>
                <w:color w:val="ffffff"/>
                <w:sz w:val="20"/>
                <w:szCs w:val="20"/>
                <w:rtl/>
              </w:rPr>
              <w:t xml:space="preserve">מוצרים רלוונטיים</w:t>
            </w:r>
          </w:p>
        </w:tc>
        <w:tc>
          <w:tcPr>
            <w:tcW w:type="dxa" w:w="2400"/>
            <w:shd w:fill="1a3c5e" w:val="clear"/>
          </w:tcPr>
          <w:p>
            <w:pPr>
              <w:bidi/>
              <w:spacing w:after="40" w:before="40"/>
              <w:jc w:val="right"/>
            </w:pPr>
            <w:r>
              <w:rPr>
                <w:rFonts w:ascii="David" w:cs="David" w:eastAsia="David" w:hAnsi="David"/>
                <w:b/>
                <w:bCs/>
                <w:color w:val="ffffff"/>
                <w:sz w:val="20"/>
                <w:szCs w:val="20"/>
                <w:rtl/>
              </w:rPr>
              <w:t xml:space="preserve">דוגמאות שותפים</w:t>
            </w:r>
          </w:p>
        </w:tc>
        <w:tc>
          <w:tcPr>
            <w:tcW w:type="dxa" w:w="2400"/>
            <w:shd w:fill="1a3c5e" w:val="clear"/>
          </w:tcPr>
          <w:p>
            <w:pPr>
              <w:bidi/>
              <w:spacing w:after="40" w:before="40"/>
              <w:jc w:val="right"/>
            </w:pPr>
            <w:r>
              <w:rPr>
                <w:rFonts w:ascii="David" w:cs="David" w:eastAsia="David" w:hAnsi="David"/>
                <w:b/>
                <w:bCs/>
                <w:color w:val="ffffff"/>
                <w:sz w:val="20"/>
                <w:szCs w:val="20"/>
                <w:rtl/>
              </w:rPr>
              <w:t xml:space="preserve">הערכת כמות עסקים</w:t>
            </w:r>
          </w:p>
        </w:tc>
      </w:tr>
      <w:tr>
        <w:tc>
          <w:tcPr>
            <w:tcW w:type="dxa" w:w="2400"/>
          </w:tcPr>
          <w:p>
            <w:pPr>
              <w:bidi/>
              <w:spacing w:after="40" w:before="40"/>
              <w:jc w:val="right"/>
            </w:pPr>
            <w:r>
              <w:rPr>
                <w:rFonts w:ascii="David" w:cs="David" w:eastAsia="David" w:hAnsi="David"/>
                <w:b w:val="false"/>
                <w:bCs w:val="false"/>
                <w:color w:val="333333"/>
                <w:sz w:val="20"/>
                <w:szCs w:val="20"/>
                <w:rtl/>
              </w:rPr>
              <w:t xml:space="preserve">Fitness / Wellness / Beauty</w:t>
            </w:r>
          </w:p>
        </w:tc>
        <w:tc>
          <w:tcPr>
            <w:tcW w:type="dxa" w:w="2400"/>
          </w:tcPr>
          <w:p>
            <w:pPr>
              <w:bidi/>
              <w:spacing w:after="40" w:before="40"/>
              <w:jc w:val="right"/>
            </w:pPr>
            <w:r>
              <w:rPr>
                <w:rFonts w:ascii="David" w:cs="David" w:eastAsia="David" w:hAnsi="David"/>
                <w:b w:val="false"/>
                <w:bCs w:val="false"/>
                <w:color w:val="333333"/>
                <w:sz w:val="20"/>
                <w:szCs w:val="20"/>
                <w:rtl/>
              </w:rPr>
              <w:t xml:space="preserve">Payments + Accounting</w:t>
            </w:r>
          </w:p>
        </w:tc>
        <w:tc>
          <w:tcPr>
            <w:tcW w:type="dxa" w:w="2400"/>
          </w:tcPr>
          <w:p>
            <w:pPr>
              <w:bidi/>
              <w:spacing w:after="40" w:before="40"/>
              <w:jc w:val="right"/>
            </w:pPr>
            <w:r>
              <w:rPr>
                <w:rFonts w:ascii="David" w:cs="David" w:eastAsia="David" w:hAnsi="David"/>
                <w:b w:val="false"/>
                <w:bCs w:val="false"/>
                <w:color w:val="333333"/>
                <w:sz w:val="20"/>
                <w:szCs w:val="20"/>
                <w:rtl/>
              </w:rPr>
              <w:t xml:space="preserve">Arbox, Fresha (IL), Plannie</w:t>
            </w:r>
          </w:p>
        </w:tc>
        <w:tc>
          <w:tcPr>
            <w:tcW w:type="dxa" w:w="2400"/>
          </w:tcPr>
          <w:p>
            <w:pPr>
              <w:bidi/>
              <w:spacing w:after="40" w:before="40"/>
              <w:jc w:val="right"/>
            </w:pPr>
            <w:r>
              <w:rPr>
                <w:rFonts w:ascii="David" w:cs="David" w:eastAsia="David" w:hAnsi="David"/>
                <w:b w:val="false"/>
                <w:bCs w:val="false"/>
                <w:color w:val="333333"/>
                <w:sz w:val="20"/>
                <w:szCs w:val="20"/>
                <w:rtl/>
              </w:rPr>
              <w:t xml:space="preserve">10,000+ סטודיואים/קליניקות</w:t>
            </w:r>
          </w:p>
        </w:tc>
      </w:tr>
      <w:tr>
        <w:tc>
          <w:tcPr>
            <w:tcW w:type="dxa" w:w="2400"/>
          </w:tcPr>
          <w:p>
            <w:pPr>
              <w:bidi/>
              <w:spacing w:after="40" w:before="40"/>
              <w:jc w:val="right"/>
            </w:pPr>
            <w:r>
              <w:rPr>
                <w:rFonts w:ascii="David" w:cs="David" w:eastAsia="David" w:hAnsi="David"/>
                <w:b w:val="false"/>
                <w:bCs w:val="false"/>
                <w:color w:val="333333"/>
                <w:sz w:val="20"/>
                <w:szCs w:val="20"/>
                <w:rtl/>
              </w:rPr>
              <w:t xml:space="preserve">Restaurant Tech</w:t>
            </w:r>
          </w:p>
        </w:tc>
        <w:tc>
          <w:tcPr>
            <w:tcW w:type="dxa" w:w="2400"/>
          </w:tcPr>
          <w:p>
            <w:pPr>
              <w:bidi/>
              <w:spacing w:after="40" w:before="40"/>
              <w:jc w:val="right"/>
            </w:pPr>
            <w:r>
              <w:rPr>
                <w:rFonts w:ascii="David" w:cs="David" w:eastAsia="David" w:hAnsi="David"/>
                <w:b w:val="false"/>
                <w:bCs w:val="false"/>
                <w:color w:val="333333"/>
                <w:sz w:val="20"/>
                <w:szCs w:val="20"/>
                <w:rtl/>
              </w:rPr>
              <w:t xml:space="preserve">Payments (B2B)</w:t>
            </w:r>
          </w:p>
        </w:tc>
        <w:tc>
          <w:tcPr>
            <w:tcW w:type="dxa" w:w="2400"/>
          </w:tcPr>
          <w:p>
            <w:pPr>
              <w:bidi/>
              <w:spacing w:after="40" w:before="40"/>
              <w:jc w:val="right"/>
            </w:pPr>
            <w:r>
              <w:rPr>
                <w:rFonts w:ascii="David" w:cs="David" w:eastAsia="David" w:hAnsi="David"/>
                <w:b w:val="false"/>
                <w:bCs w:val="false"/>
                <w:color w:val="333333"/>
                <w:sz w:val="20"/>
                <w:szCs w:val="20"/>
                <w:rtl/>
              </w:rPr>
              <w:t xml:space="preserve">Zester, Tabit, Presto, RestaurantOS</w:t>
            </w:r>
          </w:p>
        </w:tc>
        <w:tc>
          <w:tcPr>
            <w:tcW w:type="dxa" w:w="2400"/>
          </w:tcPr>
          <w:p>
            <w:pPr>
              <w:bidi/>
              <w:spacing w:after="40" w:before="40"/>
              <w:jc w:val="right"/>
            </w:pPr>
            <w:r>
              <w:rPr>
                <w:rFonts w:ascii="David" w:cs="David" w:eastAsia="David" w:hAnsi="David"/>
                <w:b w:val="false"/>
                <w:bCs w:val="false"/>
                <w:color w:val="333333"/>
                <w:sz w:val="20"/>
                <w:szCs w:val="20"/>
                <w:rtl/>
              </w:rPr>
              <w:t xml:space="preserve">5,000+ מסעדות</w:t>
            </w:r>
          </w:p>
        </w:tc>
      </w:tr>
      <w:tr>
        <w:tc>
          <w:tcPr>
            <w:tcW w:type="dxa" w:w="2400"/>
          </w:tcPr>
          <w:p>
            <w:pPr>
              <w:bidi/>
              <w:spacing w:after="40" w:before="40"/>
              <w:jc w:val="right"/>
            </w:pPr>
            <w:r>
              <w:rPr>
                <w:rFonts w:ascii="David" w:cs="David" w:eastAsia="David" w:hAnsi="David"/>
                <w:b w:val="false"/>
                <w:bCs w:val="false"/>
                <w:color w:val="333333"/>
                <w:sz w:val="20"/>
                <w:szCs w:val="20"/>
                <w:rtl/>
              </w:rPr>
              <w:t xml:space="preserve">Healthcare / ClinicTech</w:t>
            </w:r>
          </w:p>
        </w:tc>
        <w:tc>
          <w:tcPr>
            <w:tcW w:type="dxa" w:w="2400"/>
          </w:tcPr>
          <w:p>
            <w:pPr>
              <w:bidi/>
              <w:spacing w:after="40" w:before="40"/>
              <w:jc w:val="right"/>
            </w:pPr>
            <w:r>
              <w:rPr>
                <w:rFonts w:ascii="David" w:cs="David" w:eastAsia="David" w:hAnsi="David"/>
                <w:b w:val="false"/>
                <w:bCs w:val="false"/>
                <w:color w:val="333333"/>
                <w:sz w:val="20"/>
                <w:szCs w:val="20"/>
                <w:rtl/>
              </w:rPr>
              <w:t xml:space="preserve">Payments + Accounting</w:t>
            </w:r>
          </w:p>
        </w:tc>
        <w:tc>
          <w:tcPr>
            <w:tcW w:type="dxa" w:w="2400"/>
          </w:tcPr>
          <w:p>
            <w:pPr>
              <w:bidi/>
              <w:spacing w:after="40" w:before="40"/>
              <w:jc w:val="right"/>
            </w:pPr>
            <w:r>
              <w:rPr>
                <w:rFonts w:ascii="David" w:cs="David" w:eastAsia="David" w:hAnsi="David"/>
                <w:b w:val="false"/>
                <w:bCs w:val="false"/>
                <w:color w:val="333333"/>
                <w:sz w:val="20"/>
                <w:szCs w:val="20"/>
                <w:rtl/>
              </w:rPr>
              <w:t xml:space="preserve">Clinicall, Easy Clinic, Cliniq</w:t>
            </w:r>
          </w:p>
        </w:tc>
        <w:tc>
          <w:tcPr>
            <w:tcW w:type="dxa" w:w="2400"/>
          </w:tcPr>
          <w:p>
            <w:pPr>
              <w:bidi/>
              <w:spacing w:after="40" w:before="40"/>
              <w:jc w:val="right"/>
            </w:pPr>
            <w:r>
              <w:rPr>
                <w:rFonts w:ascii="David" w:cs="David" w:eastAsia="David" w:hAnsi="David"/>
                <w:b w:val="false"/>
                <w:bCs w:val="false"/>
                <w:color w:val="333333"/>
                <w:sz w:val="20"/>
                <w:szCs w:val="20"/>
                <w:rtl/>
              </w:rPr>
              <w:t xml:space="preserve">10,000+ קליניקות</w:t>
            </w:r>
          </w:p>
        </w:tc>
      </w:tr>
      <w:tr>
        <w:tc>
          <w:tcPr>
            <w:tcW w:type="dxa" w:w="2400"/>
          </w:tcPr>
          <w:p>
            <w:pPr>
              <w:bidi/>
              <w:spacing w:after="40" w:before="40"/>
              <w:jc w:val="right"/>
            </w:pPr>
            <w:r>
              <w:rPr>
                <w:rFonts w:ascii="David" w:cs="David" w:eastAsia="David" w:hAnsi="David"/>
                <w:b w:val="false"/>
                <w:bCs w:val="false"/>
                <w:color w:val="333333"/>
                <w:sz w:val="20"/>
                <w:szCs w:val="20"/>
                <w:rtl/>
              </w:rPr>
              <w:t xml:space="preserve">Education / EdTech</w:t>
            </w:r>
          </w:p>
        </w:tc>
        <w:tc>
          <w:tcPr>
            <w:tcW w:type="dxa" w:w="2400"/>
          </w:tcPr>
          <w:p>
            <w:pPr>
              <w:bidi/>
              <w:spacing w:after="40" w:before="40"/>
              <w:jc w:val="right"/>
            </w:pPr>
            <w:r>
              <w:rPr>
                <w:rFonts w:ascii="David" w:cs="David" w:eastAsia="David" w:hAnsi="David"/>
                <w:b w:val="false"/>
                <w:bCs w:val="false"/>
                <w:color w:val="333333"/>
                <w:sz w:val="20"/>
                <w:szCs w:val="20"/>
                <w:rtl/>
              </w:rPr>
              <w:t xml:space="preserve">Payments + Accounting</w:t>
            </w:r>
          </w:p>
        </w:tc>
        <w:tc>
          <w:tcPr>
            <w:tcW w:type="dxa" w:w="2400"/>
          </w:tcPr>
          <w:p>
            <w:pPr>
              <w:bidi/>
              <w:spacing w:after="40" w:before="40"/>
              <w:jc w:val="right"/>
            </w:pPr>
            <w:r>
              <w:rPr>
                <w:rFonts w:ascii="David" w:cs="David" w:eastAsia="David" w:hAnsi="David"/>
                <w:b w:val="false"/>
                <w:bCs w:val="false"/>
                <w:color w:val="333333"/>
                <w:sz w:val="20"/>
                <w:szCs w:val="20"/>
                <w:rtl/>
              </w:rPr>
              <w:t xml:space="preserve">Teachable (IL partners), Talent LMS resellers</w:t>
            </w:r>
          </w:p>
        </w:tc>
        <w:tc>
          <w:tcPr>
            <w:tcW w:type="dxa" w:w="2400"/>
          </w:tcPr>
          <w:p>
            <w:pPr>
              <w:bidi/>
              <w:spacing w:after="40" w:before="40"/>
              <w:jc w:val="right"/>
            </w:pPr>
            <w:r>
              <w:rPr>
                <w:rFonts w:ascii="David" w:cs="David" w:eastAsia="David" w:hAnsi="David"/>
                <w:b w:val="false"/>
                <w:bCs w:val="false"/>
                <w:color w:val="333333"/>
                <w:sz w:val="20"/>
                <w:szCs w:val="20"/>
                <w:rtl/>
              </w:rPr>
              <w:t xml:space="preserve">5,000+ מורים/מאמנים</w:t>
            </w:r>
          </w:p>
        </w:tc>
      </w:tr>
    </w:tbl>
    <w:p>
      <w:pPr>
        <w:spacing w:after="200"/>
      </w:pPr>
    </w:p>
    <w:p>
      <w:pPr>
        <w:pStyle w:val="Heading2"/>
        <w:bidi/>
        <w:spacing w:after="200" w:before="300"/>
        <w:jc w:val="right"/>
      </w:pPr>
      <w:r>
        <w:rPr>
          <w:rFonts w:ascii="David" w:cs="David" w:eastAsia="David" w:hAnsi="David"/>
          <w:b/>
          <w:bCs/>
          <w:color w:val="2a5c8e"/>
          <w:sz w:val="30"/>
          <w:szCs w:val="30"/>
          <w:rtl/>
        </w:rPr>
        <w:t xml:space="preserve">Tier 3 — הזדמנויות ארוכות טווח</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shd w:fill="1a3c5e" w:val="clear"/>
          </w:tcPr>
          <w:p>
            <w:pPr>
              <w:bidi/>
              <w:spacing w:after="40" w:before="40"/>
              <w:jc w:val="right"/>
            </w:pPr>
            <w:r>
              <w:rPr>
                <w:rFonts w:ascii="David" w:cs="David" w:eastAsia="David" w:hAnsi="David"/>
                <w:b/>
                <w:bCs/>
                <w:color w:val="ffffff"/>
                <w:sz w:val="20"/>
                <w:szCs w:val="20"/>
                <w:rtl/>
              </w:rPr>
              <w:t xml:space="preserve">סגמנט</w:t>
            </w:r>
          </w:p>
        </w:tc>
        <w:tc>
          <w:tcPr>
            <w:tcW w:type="dxa" w:w="2400"/>
            <w:shd w:fill="1a3c5e" w:val="clear"/>
          </w:tcPr>
          <w:p>
            <w:pPr>
              <w:bidi/>
              <w:spacing w:after="40" w:before="40"/>
              <w:jc w:val="right"/>
            </w:pPr>
            <w:r>
              <w:rPr>
                <w:rFonts w:ascii="David" w:cs="David" w:eastAsia="David" w:hAnsi="David"/>
                <w:b/>
                <w:bCs/>
                <w:color w:val="ffffff"/>
                <w:sz w:val="20"/>
                <w:szCs w:val="20"/>
                <w:rtl/>
              </w:rPr>
              <w:t xml:space="preserve">מוצרים רלוונטיים</w:t>
            </w:r>
          </w:p>
        </w:tc>
        <w:tc>
          <w:tcPr>
            <w:tcW w:type="dxa" w:w="2400"/>
            <w:shd w:fill="1a3c5e" w:val="clear"/>
          </w:tcPr>
          <w:p>
            <w:pPr>
              <w:bidi/>
              <w:spacing w:after="40" w:before="40"/>
              <w:jc w:val="right"/>
            </w:pPr>
            <w:r>
              <w:rPr>
                <w:rFonts w:ascii="David" w:cs="David" w:eastAsia="David" w:hAnsi="David"/>
                <w:b/>
                <w:bCs/>
                <w:color w:val="ffffff"/>
                <w:sz w:val="20"/>
                <w:szCs w:val="20"/>
                <w:rtl/>
              </w:rPr>
              <w:t xml:space="preserve">דוגמאות שותפים</w:t>
            </w:r>
          </w:p>
        </w:tc>
        <w:tc>
          <w:tcPr>
            <w:tcW w:type="dxa" w:w="2400"/>
            <w:shd w:fill="1a3c5e" w:val="clear"/>
          </w:tcPr>
          <w:p>
            <w:pPr>
              <w:bidi/>
              <w:spacing w:after="40" w:before="40"/>
              <w:jc w:val="right"/>
            </w:pPr>
            <w:r>
              <w:rPr>
                <w:rFonts w:ascii="David" w:cs="David" w:eastAsia="David" w:hAnsi="David"/>
                <w:b/>
                <w:bCs/>
                <w:color w:val="ffffff"/>
                <w:sz w:val="20"/>
                <w:szCs w:val="20"/>
                <w:rtl/>
              </w:rPr>
              <w:t xml:space="preserve">הערכת כמות עסקים</w:t>
            </w:r>
          </w:p>
        </w:tc>
      </w:tr>
      <w:tr>
        <w:tc>
          <w:tcPr>
            <w:tcW w:type="dxa" w:w="2400"/>
          </w:tcPr>
          <w:p>
            <w:pPr>
              <w:bidi/>
              <w:spacing w:after="40" w:before="40"/>
              <w:jc w:val="right"/>
            </w:pPr>
            <w:r>
              <w:rPr>
                <w:rFonts w:ascii="David" w:cs="David" w:eastAsia="David" w:hAnsi="David"/>
                <w:b w:val="false"/>
                <w:bCs w:val="false"/>
                <w:color w:val="333333"/>
                <w:sz w:val="20"/>
                <w:szCs w:val="20"/>
                <w:rtl/>
              </w:rPr>
              <w:t xml:space="preserve">Construction / Home Services</w:t>
            </w:r>
          </w:p>
        </w:tc>
        <w:tc>
          <w:tcPr>
            <w:tcW w:type="dxa" w:w="2400"/>
          </w:tcPr>
          <w:p>
            <w:pPr>
              <w:bidi/>
              <w:spacing w:after="40" w:before="40"/>
              <w:jc w:val="right"/>
            </w:pPr>
            <w:r>
              <w:rPr>
                <w:rFonts w:ascii="David" w:cs="David" w:eastAsia="David" w:hAnsi="David"/>
                <w:b w:val="false"/>
                <w:bCs w:val="false"/>
                <w:color w:val="333333"/>
                <w:sz w:val="20"/>
                <w:szCs w:val="20"/>
                <w:rtl/>
              </w:rPr>
              <w:t xml:space="preserve">Payments + Promoter</w:t>
            </w:r>
          </w:p>
        </w:tc>
        <w:tc>
          <w:tcPr>
            <w:tcW w:type="dxa" w:w="2400"/>
          </w:tcPr>
          <w:p>
            <w:pPr>
              <w:bidi/>
              <w:spacing w:after="40" w:before="40"/>
              <w:jc w:val="right"/>
            </w:pPr>
            <w:r>
              <w:rPr>
                <w:rFonts w:ascii="David" w:cs="David" w:eastAsia="David" w:hAnsi="David"/>
                <w:b w:val="false"/>
                <w:bCs w:val="false"/>
                <w:color w:val="333333"/>
                <w:sz w:val="20"/>
                <w:szCs w:val="20"/>
                <w:rtl/>
              </w:rPr>
              <w:t xml:space="preserve">פלטפורמות לניהול קבלנים, המאסטר</w:t>
            </w:r>
          </w:p>
        </w:tc>
        <w:tc>
          <w:tcPr>
            <w:tcW w:type="dxa" w:w="2400"/>
          </w:tcPr>
          <w:p>
            <w:pPr>
              <w:bidi/>
              <w:spacing w:after="40" w:before="40"/>
              <w:jc w:val="right"/>
            </w:pPr>
            <w:r>
              <w:rPr>
                <w:rFonts w:ascii="David" w:cs="David" w:eastAsia="David" w:hAnsi="David"/>
                <w:b w:val="false"/>
                <w:bCs w:val="false"/>
                <w:color w:val="333333"/>
                <w:sz w:val="20"/>
                <w:szCs w:val="20"/>
                <w:rtl/>
              </w:rPr>
              <w:t xml:space="preserve">אלפי קבלנים ובעלי מלאכה</w:t>
            </w:r>
          </w:p>
        </w:tc>
      </w:tr>
      <w:tr>
        <w:tc>
          <w:tcPr>
            <w:tcW w:type="dxa" w:w="2400"/>
          </w:tcPr>
          <w:p>
            <w:pPr>
              <w:bidi/>
              <w:spacing w:after="40" w:before="40"/>
              <w:jc w:val="right"/>
            </w:pPr>
            <w:r>
              <w:rPr>
                <w:rFonts w:ascii="David" w:cs="David" w:eastAsia="David" w:hAnsi="David"/>
                <w:b w:val="false"/>
                <w:bCs w:val="false"/>
                <w:color w:val="333333"/>
                <w:sz w:val="20"/>
                <w:szCs w:val="20"/>
                <w:rtl/>
              </w:rPr>
              <w:t xml:space="preserve">Franchise Systems</w:t>
            </w:r>
          </w:p>
        </w:tc>
        <w:tc>
          <w:tcPr>
            <w:tcW w:type="dxa" w:w="2400"/>
          </w:tcPr>
          <w:p>
            <w:pPr>
              <w:bidi/>
              <w:spacing w:after="40" w:before="40"/>
              <w:jc w:val="right"/>
            </w:pPr>
            <w:r>
              <w:rPr>
                <w:rFonts w:ascii="David" w:cs="David" w:eastAsia="David" w:hAnsi="David"/>
                <w:b w:val="false"/>
                <w:bCs w:val="false"/>
                <w:color w:val="333333"/>
                <w:sz w:val="20"/>
                <w:szCs w:val="20"/>
                <w:rtl/>
              </w:rPr>
              <w:t xml:space="preserve">Payments + Accounting + Promoter</w:t>
            </w:r>
          </w:p>
        </w:tc>
        <w:tc>
          <w:tcPr>
            <w:tcW w:type="dxa" w:w="2400"/>
          </w:tcPr>
          <w:p>
            <w:pPr>
              <w:bidi/>
              <w:spacing w:after="40" w:before="40"/>
              <w:jc w:val="right"/>
            </w:pPr>
            <w:r>
              <w:rPr>
                <w:rFonts w:ascii="David" w:cs="David" w:eastAsia="David" w:hAnsi="David"/>
                <w:b w:val="false"/>
                <w:bCs w:val="false"/>
                <w:color w:val="333333"/>
                <w:sz w:val="20"/>
                <w:szCs w:val="20"/>
                <w:rtl/>
              </w:rPr>
              <w:t xml:space="preserve">רשתות זיכיון, ארגוני מעסיקים</w:t>
            </w:r>
          </w:p>
        </w:tc>
        <w:tc>
          <w:tcPr>
            <w:tcW w:type="dxa" w:w="2400"/>
          </w:tcPr>
          <w:p>
            <w:pPr>
              <w:bidi/>
              <w:spacing w:after="40" w:before="40"/>
              <w:jc w:val="right"/>
            </w:pPr>
            <w:r>
              <w:rPr>
                <w:rFonts w:ascii="David" w:cs="David" w:eastAsia="David" w:hAnsi="David"/>
                <w:b w:val="false"/>
                <w:bCs w:val="false"/>
                <w:color w:val="333333"/>
                <w:sz w:val="20"/>
                <w:szCs w:val="20"/>
                <w:rtl/>
              </w:rPr>
              <w:t xml:space="preserve">עשרות עד מאות סניפים/רשת</w:t>
            </w:r>
          </w:p>
        </w:tc>
      </w:tr>
      <w:tr>
        <w:tc>
          <w:tcPr>
            <w:tcW w:type="dxa" w:w="2400"/>
          </w:tcPr>
          <w:p>
            <w:pPr>
              <w:bidi/>
              <w:spacing w:after="40" w:before="40"/>
              <w:jc w:val="right"/>
            </w:pPr>
            <w:r>
              <w:rPr>
                <w:rFonts w:ascii="David" w:cs="David" w:eastAsia="David" w:hAnsi="David"/>
                <w:b w:val="false"/>
                <w:bCs w:val="false"/>
                <w:color w:val="333333"/>
                <w:sz w:val="20"/>
                <w:szCs w:val="20"/>
                <w:rtl/>
              </w:rPr>
              <w:t xml:space="preserve">Creator Economy</w:t>
            </w:r>
          </w:p>
        </w:tc>
        <w:tc>
          <w:tcPr>
            <w:tcW w:type="dxa" w:w="2400"/>
          </w:tcPr>
          <w:p>
            <w:pPr>
              <w:bidi/>
              <w:spacing w:after="40" w:before="40"/>
              <w:jc w:val="right"/>
            </w:pPr>
            <w:r>
              <w:rPr>
                <w:rFonts w:ascii="David" w:cs="David" w:eastAsia="David" w:hAnsi="David"/>
                <w:b w:val="false"/>
                <w:bCs w:val="false"/>
                <w:color w:val="333333"/>
                <w:sz w:val="20"/>
                <w:szCs w:val="20"/>
                <w:rtl/>
              </w:rPr>
              <w:t xml:space="preserve">Payments + Accounting</w:t>
            </w:r>
          </w:p>
        </w:tc>
        <w:tc>
          <w:tcPr>
            <w:tcW w:type="dxa" w:w="2400"/>
          </w:tcPr>
          <w:p>
            <w:pPr>
              <w:bidi/>
              <w:spacing w:after="40" w:before="40"/>
              <w:jc w:val="right"/>
            </w:pPr>
            <w:r>
              <w:rPr>
                <w:rFonts w:ascii="David" w:cs="David" w:eastAsia="David" w:hAnsi="David"/>
                <w:b w:val="false"/>
                <w:bCs w:val="false"/>
                <w:color w:val="333333"/>
                <w:sz w:val="20"/>
                <w:szCs w:val="20"/>
                <w:rtl/>
              </w:rPr>
              <w:t xml:space="preserve">Fiverr (IL), פלטפורמות יוצרים</w:t>
            </w:r>
          </w:p>
        </w:tc>
        <w:tc>
          <w:tcPr>
            <w:tcW w:type="dxa" w:w="2400"/>
          </w:tcPr>
          <w:p>
            <w:pPr>
              <w:bidi/>
              <w:spacing w:after="40" w:before="40"/>
              <w:jc w:val="right"/>
            </w:pPr>
            <w:r>
              <w:rPr>
                <w:rFonts w:ascii="David" w:cs="David" w:eastAsia="David" w:hAnsi="David"/>
                <w:b w:val="false"/>
                <w:bCs w:val="false"/>
                <w:color w:val="333333"/>
                <w:sz w:val="20"/>
                <w:szCs w:val="20"/>
                <w:rtl/>
              </w:rPr>
              <w:t xml:space="preserve">עשרות אלפי יוצרים</w:t>
            </w:r>
          </w:p>
        </w:tc>
      </w:tr>
      <w:tr>
        <w:tc>
          <w:tcPr>
            <w:tcW w:type="dxa" w:w="2400"/>
          </w:tcPr>
          <w:p>
            <w:pPr>
              <w:bidi/>
              <w:spacing w:after="40" w:before="40"/>
              <w:jc w:val="right"/>
            </w:pPr>
            <w:r>
              <w:rPr>
                <w:rFonts w:ascii="David" w:cs="David" w:eastAsia="David" w:hAnsi="David"/>
                <w:b w:val="false"/>
                <w:bCs w:val="false"/>
                <w:color w:val="333333"/>
                <w:sz w:val="20"/>
                <w:szCs w:val="20"/>
                <w:rtl/>
              </w:rPr>
              <w:t xml:space="preserve">בנקים / מוסדות פיננסיים</w:t>
            </w:r>
          </w:p>
        </w:tc>
        <w:tc>
          <w:tcPr>
            <w:tcW w:type="dxa" w:w="2400"/>
          </w:tcPr>
          <w:p>
            <w:pPr>
              <w:bidi/>
              <w:spacing w:after="40" w:before="40"/>
              <w:jc w:val="right"/>
            </w:pPr>
            <w:r>
              <w:rPr>
                <w:rFonts w:ascii="David" w:cs="David" w:eastAsia="David" w:hAnsi="David"/>
                <w:b w:val="false"/>
                <w:bCs w:val="false"/>
                <w:color w:val="333333"/>
                <w:sz w:val="20"/>
                <w:szCs w:val="20"/>
                <w:rtl/>
              </w:rPr>
              <w:t xml:space="preserve">Payments (White Label)</w:t>
            </w:r>
          </w:p>
        </w:tc>
        <w:tc>
          <w:tcPr>
            <w:tcW w:type="dxa" w:w="2400"/>
          </w:tcPr>
          <w:p>
            <w:pPr>
              <w:bidi/>
              <w:spacing w:after="40" w:before="40"/>
              <w:jc w:val="right"/>
            </w:pPr>
            <w:r>
              <w:rPr>
                <w:rFonts w:ascii="David" w:cs="David" w:eastAsia="David" w:hAnsi="David"/>
                <w:b w:val="false"/>
                <w:bCs w:val="false"/>
                <w:color w:val="333333"/>
                <w:sz w:val="20"/>
                <w:szCs w:val="20"/>
                <w:rtl/>
              </w:rPr>
              <w:t xml:space="preserve">Isracard (כבר שותף), בנקים ישראליים</w:t>
            </w:r>
          </w:p>
        </w:tc>
        <w:tc>
          <w:tcPr>
            <w:tcW w:type="dxa" w:w="2400"/>
          </w:tcPr>
          <w:p>
            <w:pPr>
              <w:bidi/>
              <w:spacing w:after="40" w:before="40"/>
              <w:jc w:val="right"/>
            </w:pPr>
            <w:r>
              <w:rPr>
                <w:rFonts w:ascii="David" w:cs="David" w:eastAsia="David" w:hAnsi="David"/>
                <w:b w:val="false"/>
                <w:bCs w:val="false"/>
                <w:color w:val="333333"/>
                <w:sz w:val="20"/>
                <w:szCs w:val="20"/>
                <w:rtl/>
              </w:rPr>
              <w:t xml:space="preserve">מאות אלפי לקוחות עסקיים</w:t>
            </w:r>
          </w:p>
        </w:tc>
      </w:tr>
    </w:tbl>
    <w:p>
      <w:r>
        <w:br w:type="page"/>
      </w:r>
    </w:p>
    <w:p>
      <w:pPr>
        <w:pStyle w:val="Heading1"/>
        <w:bidi/>
        <w:spacing w:after="200" w:before="300"/>
        <w:jc w:val="right"/>
      </w:pPr>
      <w:r>
        <w:rPr>
          <w:rFonts w:ascii="David" w:cs="David" w:eastAsia="David" w:hAnsi="David"/>
          <w:b/>
          <w:bCs/>
          <w:color w:val="1a3c5e"/>
          <w:sz w:val="36"/>
          <w:szCs w:val="36"/>
          <w:rtl/>
        </w:rPr>
        <w:t xml:space="preserve">7. נספח: נתוני המשימה (ARPU, Activation, Sales Cycle)</w:t>
      </w:r>
    </w:p>
    <w:p>
      <w:pPr>
        <w:bidi/>
        <w:spacing w:after="120" w:line="320"/>
        <w:jc w:val="right"/>
      </w:pPr>
      <w:r>
        <w:rPr>
          <w:rFonts w:ascii="David" w:cs="David" w:eastAsia="David" w:hAnsi="David"/>
          <w:sz w:val="24"/>
          <w:szCs w:val="24"/>
          <w:rtl/>
        </w:rPr>
        <w:t xml:space="preserve">להלן טבלת הנתונים כפי שסופקה במסמך המשימה המקורי:</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shd w:fill="1a3c5e" w:val="clear"/>
          </w:tcPr>
          <w:p>
            <w:pPr>
              <w:bidi/>
              <w:spacing w:after="40" w:before="40"/>
              <w:jc w:val="right"/>
            </w:pPr>
            <w:r>
              <w:rPr>
                <w:rFonts w:ascii="David" w:cs="David" w:eastAsia="David" w:hAnsi="David"/>
                <w:b/>
                <w:bCs/>
                <w:color w:val="ffffff"/>
                <w:sz w:val="20"/>
                <w:szCs w:val="20"/>
                <w:rtl/>
              </w:rPr>
              <w:t xml:space="preserve">פרמטר</w:t>
            </w:r>
          </w:p>
        </w:tc>
        <w:tc>
          <w:tcPr>
            <w:tcW w:type="dxa" w:w="2400"/>
            <w:shd w:fill="1a3c5e" w:val="clear"/>
          </w:tcPr>
          <w:p>
            <w:pPr>
              <w:bidi/>
              <w:spacing w:after="40" w:before="40"/>
              <w:jc w:val="right"/>
            </w:pPr>
            <w:r>
              <w:rPr>
                <w:rFonts w:ascii="David" w:cs="David" w:eastAsia="David" w:hAnsi="David"/>
                <w:b/>
                <w:bCs/>
                <w:color w:val="ffffff"/>
                <w:sz w:val="20"/>
                <w:szCs w:val="20"/>
                <w:rtl/>
              </w:rPr>
              <w:t xml:space="preserve">Payments</w:t>
            </w:r>
          </w:p>
        </w:tc>
        <w:tc>
          <w:tcPr>
            <w:tcW w:type="dxa" w:w="2400"/>
            <w:shd w:fill="1a3c5e" w:val="clear"/>
          </w:tcPr>
          <w:p>
            <w:pPr>
              <w:bidi/>
              <w:spacing w:after="40" w:before="40"/>
              <w:jc w:val="right"/>
            </w:pPr>
            <w:r>
              <w:rPr>
                <w:rFonts w:ascii="David" w:cs="David" w:eastAsia="David" w:hAnsi="David"/>
                <w:b/>
                <w:bCs/>
                <w:color w:val="ffffff"/>
                <w:sz w:val="20"/>
                <w:szCs w:val="20"/>
                <w:rtl/>
              </w:rPr>
              <w:t xml:space="preserve">Accounting</w:t>
            </w:r>
          </w:p>
        </w:tc>
        <w:tc>
          <w:tcPr>
            <w:tcW w:type="dxa" w:w="2400"/>
            <w:shd w:fill="1a3c5e" w:val="clear"/>
          </w:tcPr>
          <w:p>
            <w:pPr>
              <w:bidi/>
              <w:spacing w:after="40" w:before="40"/>
              <w:jc w:val="right"/>
            </w:pPr>
            <w:r>
              <w:rPr>
                <w:rFonts w:ascii="David" w:cs="David" w:eastAsia="David" w:hAnsi="David"/>
                <w:b/>
                <w:bCs/>
                <w:color w:val="ffffff"/>
                <w:sz w:val="20"/>
                <w:szCs w:val="20"/>
                <w:rtl/>
              </w:rPr>
              <w:t xml:space="preserve">Marketing (Promoter)</w:t>
            </w:r>
          </w:p>
        </w:tc>
      </w:tr>
      <w:tr>
        <w:tc>
          <w:tcPr>
            <w:tcW w:type="dxa" w:w="2400"/>
          </w:tcPr>
          <w:p>
            <w:pPr>
              <w:bidi/>
              <w:spacing w:after="40" w:before="40"/>
              <w:jc w:val="right"/>
            </w:pPr>
            <w:r>
              <w:rPr>
                <w:rFonts w:ascii="David" w:cs="David" w:eastAsia="David" w:hAnsi="David"/>
                <w:b w:val="false"/>
                <w:bCs w:val="false"/>
                <w:color w:val="333333"/>
                <w:sz w:val="20"/>
                <w:szCs w:val="20"/>
                <w:rtl/>
              </w:rPr>
              <w:t xml:space="preserve">ARPU</w:t>
            </w:r>
          </w:p>
        </w:tc>
        <w:tc>
          <w:tcPr>
            <w:tcW w:type="dxa" w:w="2400"/>
          </w:tcPr>
          <w:p>
            <w:pPr>
              <w:bidi/>
              <w:spacing w:after="40" w:before="40"/>
              <w:jc w:val="right"/>
            </w:pPr>
            <w:r>
              <w:rPr>
                <w:rFonts w:ascii="David" w:cs="David" w:eastAsia="David" w:hAnsi="David"/>
                <w:b w:val="false"/>
                <w:bCs w:val="false"/>
                <w:color w:val="333333"/>
                <w:sz w:val="20"/>
                <w:szCs w:val="20"/>
                <w:rtl/>
              </w:rPr>
              <w:t xml:space="preserve">100 ש"ח</w:t>
            </w:r>
          </w:p>
        </w:tc>
        <w:tc>
          <w:tcPr>
            <w:tcW w:type="dxa" w:w="2400"/>
          </w:tcPr>
          <w:p>
            <w:pPr>
              <w:bidi/>
              <w:spacing w:after="40" w:before="40"/>
              <w:jc w:val="right"/>
            </w:pPr>
            <w:r>
              <w:rPr>
                <w:rFonts w:ascii="David" w:cs="David" w:eastAsia="David" w:hAnsi="David"/>
                <w:b w:val="false"/>
                <w:bCs w:val="false"/>
                <w:color w:val="333333"/>
                <w:sz w:val="20"/>
                <w:szCs w:val="20"/>
                <w:rtl/>
              </w:rPr>
              <w:t xml:space="preserve">150 ש"ח</w:t>
            </w:r>
          </w:p>
        </w:tc>
        <w:tc>
          <w:tcPr>
            <w:tcW w:type="dxa" w:w="2400"/>
          </w:tcPr>
          <w:p>
            <w:pPr>
              <w:bidi/>
              <w:spacing w:after="40" w:before="40"/>
              <w:jc w:val="right"/>
            </w:pPr>
            <w:r>
              <w:rPr>
                <w:rFonts w:ascii="David" w:cs="David" w:eastAsia="David" w:hAnsi="David"/>
                <w:b w:val="false"/>
                <w:bCs w:val="false"/>
                <w:color w:val="333333"/>
                <w:sz w:val="20"/>
                <w:szCs w:val="20"/>
                <w:rtl/>
              </w:rPr>
              <w:t xml:space="preserve">1,500 ש"ח</w:t>
            </w:r>
          </w:p>
        </w:tc>
      </w:tr>
      <w:tr>
        <w:tc>
          <w:tcPr>
            <w:tcW w:type="dxa" w:w="2400"/>
          </w:tcPr>
          <w:p>
            <w:pPr>
              <w:bidi/>
              <w:spacing w:after="40" w:before="40"/>
              <w:jc w:val="right"/>
            </w:pPr>
            <w:r>
              <w:rPr>
                <w:rFonts w:ascii="David" w:cs="David" w:eastAsia="David" w:hAnsi="David"/>
                <w:b w:val="false"/>
                <w:bCs w:val="false"/>
                <w:color w:val="333333"/>
                <w:sz w:val="20"/>
                <w:szCs w:val="20"/>
                <w:rtl/>
              </w:rPr>
              <w:t xml:space="preserve">שיעור הפעלה (Activation)</w:t>
            </w:r>
          </w:p>
        </w:tc>
        <w:tc>
          <w:tcPr>
            <w:tcW w:type="dxa" w:w="2400"/>
          </w:tcPr>
          <w:p>
            <w:pPr>
              <w:bidi/>
              <w:spacing w:after="40" w:before="40"/>
              <w:jc w:val="right"/>
            </w:pPr>
            <w:r>
              <w:rPr>
                <w:rFonts w:ascii="David" w:cs="David" w:eastAsia="David" w:hAnsi="David"/>
                <w:b w:val="false"/>
                <w:bCs w:val="false"/>
                <w:color w:val="333333"/>
                <w:sz w:val="20"/>
                <w:szCs w:val="20"/>
                <w:rtl/>
              </w:rPr>
              <w:t xml:space="preserve">15%</w:t>
            </w:r>
          </w:p>
        </w:tc>
        <w:tc>
          <w:tcPr>
            <w:tcW w:type="dxa" w:w="2400"/>
          </w:tcPr>
          <w:p>
            <w:pPr>
              <w:bidi/>
              <w:spacing w:after="40" w:before="40"/>
              <w:jc w:val="right"/>
            </w:pPr>
            <w:r>
              <w:rPr>
                <w:rFonts w:ascii="David" w:cs="David" w:eastAsia="David" w:hAnsi="David"/>
                <w:b w:val="false"/>
                <w:bCs w:val="false"/>
                <w:color w:val="333333"/>
                <w:sz w:val="20"/>
                <w:szCs w:val="20"/>
                <w:rtl/>
              </w:rPr>
              <w:t xml:space="preserve">25%</w:t>
            </w:r>
          </w:p>
        </w:tc>
        <w:tc>
          <w:tcPr>
            <w:tcW w:type="dxa" w:w="2400"/>
          </w:tcPr>
          <w:p>
            <w:pPr>
              <w:bidi/>
              <w:spacing w:after="40" w:before="40"/>
              <w:jc w:val="right"/>
            </w:pPr>
            <w:r>
              <w:rPr>
                <w:rFonts w:ascii="David" w:cs="David" w:eastAsia="David" w:hAnsi="David"/>
                <w:b w:val="false"/>
                <w:bCs w:val="false"/>
                <w:color w:val="333333"/>
                <w:sz w:val="20"/>
                <w:szCs w:val="20"/>
                <w:rtl/>
              </w:rPr>
              <w:t xml:space="preserve">25%</w:t>
            </w:r>
          </w:p>
        </w:tc>
      </w:tr>
      <w:tr>
        <w:tc>
          <w:tcPr>
            <w:tcW w:type="dxa" w:w="2400"/>
          </w:tcPr>
          <w:p>
            <w:pPr>
              <w:bidi/>
              <w:spacing w:after="40" w:before="40"/>
              <w:jc w:val="right"/>
            </w:pPr>
            <w:r>
              <w:rPr>
                <w:rFonts w:ascii="David" w:cs="David" w:eastAsia="David" w:hAnsi="David"/>
                <w:b w:val="false"/>
                <w:bCs w:val="false"/>
                <w:color w:val="333333"/>
                <w:sz w:val="20"/>
                <w:szCs w:val="20"/>
                <w:rtl/>
              </w:rPr>
              <w:t xml:space="preserve">מחזור מכירה ממוצע</w:t>
            </w:r>
          </w:p>
        </w:tc>
        <w:tc>
          <w:tcPr>
            <w:tcW w:type="dxa" w:w="2400"/>
          </w:tcPr>
          <w:p>
            <w:pPr>
              <w:bidi/>
              <w:spacing w:after="40" w:before="40"/>
              <w:jc w:val="right"/>
            </w:pPr>
            <w:r>
              <w:rPr>
                <w:rFonts w:ascii="David" w:cs="David" w:eastAsia="David" w:hAnsi="David"/>
                <w:b w:val="false"/>
                <w:bCs w:val="false"/>
                <w:color w:val="333333"/>
                <w:sz w:val="20"/>
                <w:szCs w:val="20"/>
                <w:rtl/>
              </w:rPr>
              <w:t xml:space="preserve">4 שבועות</w:t>
            </w:r>
          </w:p>
        </w:tc>
        <w:tc>
          <w:tcPr>
            <w:tcW w:type="dxa" w:w="2400"/>
          </w:tcPr>
          <w:p>
            <w:pPr>
              <w:bidi/>
              <w:spacing w:after="40" w:before="40"/>
              <w:jc w:val="right"/>
            </w:pPr>
            <w:r>
              <w:rPr>
                <w:rFonts w:ascii="David" w:cs="David" w:eastAsia="David" w:hAnsi="David"/>
                <w:b w:val="false"/>
                <w:bCs w:val="false"/>
                <w:color w:val="333333"/>
                <w:sz w:val="20"/>
                <w:szCs w:val="20"/>
                <w:rtl/>
              </w:rPr>
              <w:t xml:space="preserve">2 שבועות</w:t>
            </w:r>
          </w:p>
        </w:tc>
        <w:tc>
          <w:tcPr>
            <w:tcW w:type="dxa" w:w="2400"/>
          </w:tcPr>
          <w:p>
            <w:pPr>
              <w:bidi/>
              <w:spacing w:after="40" w:before="40"/>
              <w:jc w:val="right"/>
            </w:pPr>
            <w:r>
              <w:rPr>
                <w:rFonts w:ascii="David" w:cs="David" w:eastAsia="David" w:hAnsi="David"/>
                <w:b w:val="false"/>
                <w:bCs w:val="false"/>
                <w:color w:val="333333"/>
                <w:sz w:val="20"/>
                <w:szCs w:val="20"/>
                <w:rtl/>
              </w:rPr>
              <w:t xml:space="preserve">4 שבועות</w:t>
            </w:r>
          </w:p>
        </w:tc>
      </w:tr>
      <w:tr>
        <w:tc>
          <w:tcPr>
            <w:tcW w:type="dxa" w:w="2400"/>
          </w:tcPr>
          <w:p>
            <w:pPr>
              <w:bidi/>
              <w:spacing w:after="40" w:before="40"/>
              <w:jc w:val="right"/>
            </w:pPr>
            <w:r>
              <w:rPr>
                <w:rFonts w:ascii="David" w:cs="David" w:eastAsia="David" w:hAnsi="David"/>
                <w:b w:val="false"/>
                <w:bCs w:val="false"/>
                <w:color w:val="333333"/>
                <w:sz w:val="20"/>
                <w:szCs w:val="20"/>
                <w:rtl/>
              </w:rPr>
              <w:t xml:space="preserve">גיאוגרפיה</w:t>
            </w:r>
          </w:p>
        </w:tc>
        <w:tc>
          <w:tcPr>
            <w:tcW w:type="dxa" w:w="2400"/>
          </w:tcPr>
          <w:p>
            <w:pPr>
              <w:bidi/>
              <w:spacing w:after="40" w:before="40"/>
              <w:jc w:val="right"/>
            </w:pPr>
            <w:r>
              <w:rPr>
                <w:rFonts w:ascii="David" w:cs="David" w:eastAsia="David" w:hAnsi="David"/>
                <w:b w:val="false"/>
                <w:bCs w:val="false"/>
                <w:color w:val="333333"/>
                <w:sz w:val="20"/>
                <w:szCs w:val="20"/>
                <w:rtl/>
              </w:rPr>
              <w:t xml:space="preserve">ישראל, ארה"ב, אירופה</w:t>
            </w:r>
          </w:p>
        </w:tc>
        <w:tc>
          <w:tcPr>
            <w:tcW w:type="dxa" w:w="2400"/>
          </w:tcPr>
          <w:p>
            <w:pPr>
              <w:bidi/>
              <w:spacing w:after="40" w:before="40"/>
              <w:jc w:val="right"/>
            </w:pPr>
            <w:r>
              <w:rPr>
                <w:rFonts w:ascii="David" w:cs="David" w:eastAsia="David" w:hAnsi="David"/>
                <w:b w:val="false"/>
                <w:bCs w:val="false"/>
                <w:color w:val="333333"/>
                <w:sz w:val="20"/>
                <w:szCs w:val="20"/>
                <w:rtl/>
              </w:rPr>
              <w:t xml:space="preserve">ישראל בלבד</w:t>
            </w:r>
          </w:p>
        </w:tc>
        <w:tc>
          <w:tcPr>
            <w:tcW w:type="dxa" w:w="2400"/>
          </w:tcPr>
          <w:p>
            <w:pPr>
              <w:bidi/>
              <w:spacing w:after="40" w:before="40"/>
              <w:jc w:val="right"/>
            </w:pPr>
            <w:r>
              <w:rPr>
                <w:rFonts w:ascii="David" w:cs="David" w:eastAsia="David" w:hAnsi="David"/>
                <w:b w:val="false"/>
                <w:bCs w:val="false"/>
                <w:color w:val="333333"/>
                <w:sz w:val="20"/>
                <w:szCs w:val="20"/>
                <w:rtl/>
              </w:rPr>
              <w:t xml:space="preserve">ישראל בלבד</w:t>
            </w:r>
          </w:p>
        </w:tc>
      </w:tr>
    </w:tbl>
    <w:p>
      <w:pPr>
        <w:spacing w:after="300"/>
      </w:pPr>
    </w:p>
    <w:p>
      <w:pPr>
        <w:pStyle w:val="Heading2"/>
        <w:bidi/>
        <w:spacing w:after="200" w:before="300"/>
        <w:jc w:val="right"/>
      </w:pPr>
      <w:r>
        <w:rPr>
          <w:rFonts w:ascii="David" w:cs="David" w:eastAsia="David" w:hAnsi="David"/>
          <w:b/>
          <w:bCs/>
          <w:color w:val="2a5c8e"/>
          <w:sz w:val="30"/>
          <w:szCs w:val="30"/>
          <w:rtl/>
        </w:rPr>
        <w:t xml:space="preserve">חישוב מהיר — מה צריך כדי להגיע ל-100K MRR</w:t>
      </w:r>
    </w:p>
    <w:p>
      <w:pPr>
        <w:bidi/>
        <w:spacing w:after="120" w:line="320"/>
        <w:jc w:val="right"/>
      </w:pPr>
      <w:r>
        <w:rPr>
          <w:rFonts w:ascii="David" w:cs="David" w:eastAsia="David" w:hAnsi="David"/>
          <w:sz w:val="24"/>
          <w:szCs w:val="24"/>
          <w:rtl/>
        </w:rPr>
        <w:t xml:space="preserve">להלן מספר תרחישים אילוסטרטיביים:</w:t>
      </w:r>
    </w:p>
    <w:p>
      <w:pPr>
        <w:bidi/>
        <w:spacing w:after="120" w:line="320"/>
        <w:jc w:val="right"/>
      </w:pPr>
      <w:r>
        <w:rPr>
          <w:rFonts w:ascii="David" w:cs="David" w:eastAsia="David" w:hAnsi="David"/>
          <w:b/>
          <w:bCs/>
          <w:sz w:val="24"/>
          <w:szCs w:val="24"/>
          <w:rtl/>
        </w:rPr>
        <w:t xml:space="preserve">תרחיש A — Payments בלבד: </w:t>
      </w:r>
      <w:r>
        <w:rPr>
          <w:rFonts w:ascii="David" w:cs="David" w:eastAsia="David" w:hAnsi="David"/>
          <w:sz w:val="24"/>
          <w:szCs w:val="24"/>
          <w:rtl/>
        </w:rPr>
        <w:t xml:space="preserve">100,000 / 100 = 1,000 עסקים פעילים. עם Activation של 15%, צריך לגרום ל-6,667 עסקים להיחשף למוצר דרך שותפים. זה מספר גדול מאוד, שדורש שותפים גדולים.</w:t>
      </w:r>
    </w:p>
    <w:p>
      <w:pPr>
        <w:bidi/>
        <w:spacing w:after="120" w:line="320"/>
        <w:jc w:val="right"/>
      </w:pPr>
      <w:r>
        <w:rPr>
          <w:rFonts w:ascii="David" w:cs="David" w:eastAsia="David" w:hAnsi="David"/>
          <w:b/>
          <w:bCs/>
          <w:sz w:val="24"/>
          <w:szCs w:val="24"/>
          <w:rtl/>
        </w:rPr>
        <w:t xml:space="preserve">תרחיש B — Accounting בלבד: </w:t>
      </w:r>
      <w:r>
        <w:rPr>
          <w:rFonts w:ascii="David" w:cs="David" w:eastAsia="David" w:hAnsi="David"/>
          <w:sz w:val="24"/>
          <w:szCs w:val="24"/>
          <w:rtl/>
        </w:rPr>
        <w:t xml:space="preserve">100,000 / 150 = 667 עסקים פעילים. עם Activation של 25%, צריך 2,668 עסקים. ריאלי יותר, אבל ישראל בלבד.</w:t>
      </w:r>
    </w:p>
    <w:p>
      <w:pPr>
        <w:bidi/>
        <w:spacing w:after="120" w:line="320"/>
        <w:jc w:val="right"/>
      </w:pPr>
      <w:r>
        <w:rPr>
          <w:rFonts w:ascii="David" w:cs="David" w:eastAsia="David" w:hAnsi="David"/>
          <w:b/>
          <w:bCs/>
          <w:sz w:val="24"/>
          <w:szCs w:val="24"/>
          <w:rtl/>
        </w:rPr>
        <w:t xml:space="preserve">תרחיש C — Promoter בלבד: </w:t>
      </w:r>
      <w:r>
        <w:rPr>
          <w:rFonts w:ascii="David" w:cs="David" w:eastAsia="David" w:hAnsi="David"/>
          <w:sz w:val="24"/>
          <w:szCs w:val="24"/>
          <w:rtl/>
        </w:rPr>
        <w:t xml:space="preserve">100,000 / 1,500 = 67 עסקים פעילים. עם Activation של 25%, צריך רק 268 עסקים. המספר הכי קטן, אבל ה-Sales Cycle ארוך (4 שבועות) ויש פחות מידע על המוצר.</w:t>
      </w:r>
    </w:p>
    <w:p>
      <w:pPr>
        <w:bidi/>
        <w:spacing w:after="120" w:line="320"/>
        <w:jc w:val="right"/>
      </w:pPr>
      <w:r>
        <w:rPr>
          <w:rFonts w:ascii="David" w:cs="David" w:eastAsia="David" w:hAnsi="David"/>
          <w:b/>
          <w:bCs/>
          <w:sz w:val="24"/>
          <w:szCs w:val="24"/>
          <w:rtl/>
        </w:rPr>
        <w:t xml:space="preserve">תרחיש D — שילוב (מומלץ): </w:t>
      </w:r>
      <w:r>
        <w:rPr>
          <w:rFonts w:ascii="David" w:cs="David" w:eastAsia="David" w:hAnsi="David"/>
          <w:sz w:val="24"/>
          <w:szCs w:val="24"/>
          <w:rtl/>
        </w:rPr>
        <w:t xml:space="preserve">למשל: 30K מ-Promoter (20 עסקים) + 40K מ-Accounting (267 עסקים) + 30K מ-Payments (300 עסקים). סה"כ 587 עסקים פעילים. זה התרחיש הריאלי ביותר — פיזור סיכונים ומינוף של כל שלושת המוצרים.</w:t>
      </w:r>
    </w:p>
    <w:p>
      <w:pPr>
        <w:pBdr>
          <w:top w:val="single" w:color="2a5c8e" w:sz="1"/>
          <w:bottom w:val="single" w:color="2a5c8e" w:sz="1"/>
          <w:left w:val="single" w:color="2a5c8e" w:sz="6"/>
          <w:right w:val="single" w:color="2a5c8e" w:sz="1"/>
        </w:pBdr>
        <w:bidi/>
        <w:spacing w:after="200" w:before="200"/>
        <w:jc w:val="right"/>
      </w:pPr>
      <w:r>
        <w:rPr>
          <w:rFonts w:ascii="David" w:cs="David" w:eastAsia="David" w:hAnsi="David"/>
          <w:b/>
          <w:bCs/>
          <w:color w:val="2a5c8e"/>
          <w:sz w:val="22"/>
          <w:szCs w:val="22"/>
          <w:rtl/>
        </w:rPr>
        <w:t xml:space="preserve">תובנת מחקר: </w:t>
      </w:r>
      <w:r>
        <w:rPr>
          <w:rFonts w:ascii="David" w:cs="David" w:eastAsia="David" w:hAnsi="David"/>
          <w:sz w:val="22"/>
          <w:szCs w:val="22"/>
          <w:rtl/>
        </w:rPr>
        <w:t xml:space="preserve">אסטרטגיה מנצחת משלבת בין שלושת המוצרים. Promoter מספק ARPU גבוה עם מעט לקוחות, Accounting מספק Volume מהיר (Sales Cycle של שבועיים בלבד), ו-Payments מספק סקייל ארוך טווח. השותפים צריכים להיבחר בהתאם.</w:t>
      </w:r>
    </w:p>
    <w:p>
      <w:pPr>
        <w:spacing w:after="200"/>
      </w:pPr>
    </w:p>
    <w:p>
      <w:pPr>
        <w:pBdr>
          <w:top w:val="single" w:color="1a3c5e" w:sz="2"/>
        </w:pBdr>
        <w:spacing w:after="200" w:before="400"/>
        <w:jc w:val="center"/>
      </w:pPr>
      <w:r>
        <w:rPr>
          <w:rFonts w:ascii="David" w:cs="David" w:eastAsia="David" w:hAnsi="David"/>
          <w:color w:val="999999"/>
          <w:sz w:val="22"/>
          <w:szCs w:val="22"/>
          <w:rtl/>
        </w:rPr>
        <w:t xml:space="preserve">— סוף מסמך מחקר —</w:t>
      </w:r>
    </w:p>
    <w:p>
      <w:pPr>
        <w:bidi/>
        <w:spacing w:after="120" w:line="320"/>
        <w:jc w:val="right"/>
      </w:pPr>
      <w:r>
        <w:rPr>
          <w:rFonts w:ascii="David" w:cs="David" w:eastAsia="David" w:hAnsi="David"/>
          <w:i/>
          <w:iCs/>
          <w:color w:val="666666"/>
          <w:sz w:val="24"/>
          <w:szCs w:val="24"/>
          <w:rtl/>
        </w:rPr>
        <w:t xml:space="preserve">המסמך הזה הוא הבסיס למשימה. השלב הבא: בחירת שותפים ספציפיים, בניית טבלת פעילות שבועית (12 שבועות), ותחזית הכנסות חודשית.</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2026-07-18T10:32:54.810Z</dcterms:created>
  <dcterms:modified xsi:type="dcterms:W3CDTF">2026-07-18T10:32:54.820Z</dcterms:modified>
</cp:coreProperties>
</file>

<file path=docProps/custom.xml><?xml version="1.0" encoding="utf-8"?>
<Properties xmlns="http://schemas.openxmlformats.org/officeDocument/2006/custom-properties" xmlns:vt="http://schemas.openxmlformats.org/officeDocument/2006/docPropsVTypes"/>
</file>