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51A0B" w14:paraId="1A3A4E23" w14:textId="77777777">
        <w:tblPrEx>
          <w:tblCellMar>
            <w:top w:w="0" w:type="dxa"/>
            <w:bottom w:w="0" w:type="dxa"/>
          </w:tblCellMar>
        </w:tblPrEx>
        <w:trPr>
          <w:trHeight w:val="5200"/>
        </w:trPr>
        <w:tc>
          <w:tcPr>
            <w:tcW w:w="9746" w:type="dxa"/>
            <w:shd w:val="clear" w:color="auto" w:fill="0D2137"/>
            <w:tcMar>
              <w:top w:w="700" w:type="dxa"/>
              <w:left w:w="620" w:type="dxa"/>
              <w:bottom w:w="700" w:type="dxa"/>
              <w:right w:w="620" w:type="dxa"/>
            </w:tcMar>
            <w:vAlign w:val="center"/>
          </w:tcPr>
          <w:p w14:paraId="50D4670F" w14:textId="77777777" w:rsidR="00851A0B" w:rsidRDefault="00000000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FFFFFF"/>
                <w:spacing w:val="40"/>
                <w:sz w:val="26"/>
                <w:szCs w:val="26"/>
              </w:rPr>
              <w:t>T K C   G R O U P</w:t>
            </w:r>
          </w:p>
          <w:p w14:paraId="7F828FC0" w14:textId="77777777" w:rsidR="00851A0B" w:rsidRDefault="00000000">
            <w:pPr>
              <w:spacing w:after="520"/>
            </w:pPr>
            <w:proofErr w:type="gramStart"/>
            <w:r>
              <w:rPr>
                <w:color w:val="9FB4CC"/>
                <w:spacing w:val="30"/>
                <w:sz w:val="16"/>
                <w:szCs w:val="16"/>
              </w:rPr>
              <w:t>CAPITAL  ·</w:t>
            </w:r>
            <w:proofErr w:type="gramEnd"/>
            <w:r>
              <w:rPr>
                <w:color w:val="9FB4CC"/>
                <w:spacing w:val="30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9FB4CC"/>
                <w:spacing w:val="30"/>
                <w:sz w:val="16"/>
                <w:szCs w:val="16"/>
              </w:rPr>
              <w:t>TAX  ·</w:t>
            </w:r>
            <w:proofErr w:type="gramEnd"/>
            <w:r>
              <w:rPr>
                <w:color w:val="9FB4CC"/>
                <w:spacing w:val="30"/>
                <w:sz w:val="16"/>
                <w:szCs w:val="16"/>
              </w:rPr>
              <w:t xml:space="preserve">  IMÓVEIS</w:t>
            </w:r>
          </w:p>
          <w:p w14:paraId="4ED1B667" w14:textId="77777777" w:rsidR="00851A0B" w:rsidRDefault="00000000">
            <w:pPr>
              <w:spacing w:after="160"/>
            </w:pPr>
            <w:r>
              <w:rPr>
                <w:b/>
                <w:bCs/>
                <w:color w:val="B08D57"/>
                <w:spacing w:val="60"/>
                <w:sz w:val="20"/>
                <w:szCs w:val="20"/>
              </w:rPr>
              <w:t>PROPOSTA COMERCIAL</w:t>
            </w:r>
          </w:p>
          <w:p w14:paraId="5E4F7EC8" w14:textId="77777777" w:rsidR="00851A0B" w:rsidRDefault="00000000">
            <w:pPr>
              <w:spacing w:after="20" w:line="460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48"/>
                <w:szCs w:val="48"/>
              </w:rPr>
              <w:t>Institucionalização do Conhecimento,</w:t>
            </w:r>
          </w:p>
          <w:p w14:paraId="2ABFB80B" w14:textId="77777777" w:rsidR="00851A0B" w:rsidRDefault="00000000">
            <w:pPr>
              <w:spacing w:after="20" w:line="460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48"/>
                <w:szCs w:val="48"/>
              </w:rPr>
              <w:t>Universidade Corporativa Viva</w:t>
            </w:r>
          </w:p>
          <w:p w14:paraId="18043B5D" w14:textId="77777777" w:rsidR="00851A0B" w:rsidRDefault="00000000">
            <w:pPr>
              <w:spacing w:after="300" w:line="460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48"/>
                <w:szCs w:val="48"/>
              </w:rPr>
              <w:t>e CRM Proprietário</w:t>
            </w:r>
          </w:p>
          <w:p w14:paraId="75662F8E" w14:textId="77777777" w:rsidR="00851A0B" w:rsidRDefault="00851A0B">
            <w:pPr>
              <w:pBdr>
                <w:bottom w:val="single" w:sz="12" w:space="1" w:color="B08D57"/>
              </w:pBdr>
              <w:spacing w:after="220"/>
            </w:pPr>
          </w:p>
          <w:p w14:paraId="6C3B5371" w14:textId="77777777" w:rsidR="00851A0B" w:rsidRDefault="00000000">
            <w:pPr>
              <w:spacing w:after="40"/>
            </w:pPr>
            <w:r>
              <w:rPr>
                <w:rFonts w:ascii="Cambria" w:eastAsia="Cambria" w:hAnsi="Cambria" w:cs="Cambria"/>
                <w:i/>
                <w:iCs/>
                <w:color w:val="CBD8E6"/>
                <w:sz w:val="26"/>
                <w:szCs w:val="26"/>
              </w:rPr>
              <w:t>Ecossistema TKC</w:t>
            </w:r>
          </w:p>
          <w:p w14:paraId="3AFD15CE" w14:textId="77777777" w:rsidR="00851A0B" w:rsidRDefault="00000000">
            <w:r>
              <w:rPr>
                <w:i/>
                <w:iCs/>
                <w:color w:val="8CA3BE"/>
                <w:sz w:val="18"/>
                <w:szCs w:val="18"/>
              </w:rPr>
              <w:t>Patrimônio é o que se constrói. Legado é o que se perpetua.</w:t>
            </w:r>
          </w:p>
        </w:tc>
      </w:tr>
    </w:tbl>
    <w:p w14:paraId="49D4676F" w14:textId="77777777" w:rsidR="00851A0B" w:rsidRDefault="00851A0B">
      <w:pPr>
        <w:spacing w:after="360"/>
      </w:pPr>
    </w:p>
    <w:tbl>
      <w:tblPr>
        <w:tblW w:w="9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20"/>
        <w:gridCol w:w="280"/>
        <w:gridCol w:w="4720"/>
      </w:tblGrid>
      <w:tr w:rsidR="00851A0B" w14:paraId="3D6432AF" w14:textId="77777777">
        <w:tblPrEx>
          <w:tblCellMar>
            <w:top w:w="0" w:type="dxa"/>
            <w:bottom w:w="0" w:type="dxa"/>
          </w:tblCellMar>
        </w:tblPrEx>
        <w:tc>
          <w:tcPr>
            <w:tcW w:w="4720" w:type="dxa"/>
            <w:tcMar>
              <w:top w:w="120" w:type="dxa"/>
              <w:left w:w="0" w:type="dxa"/>
              <w:bottom w:w="120" w:type="dxa"/>
              <w:right w:w="120" w:type="dxa"/>
            </w:tcMar>
          </w:tcPr>
          <w:p w14:paraId="7490FB8A" w14:textId="77777777" w:rsidR="00851A0B" w:rsidRDefault="00000000">
            <w:pPr>
              <w:spacing w:after="60"/>
            </w:pPr>
            <w:r>
              <w:rPr>
                <w:b/>
                <w:bCs/>
                <w:caps/>
                <w:color w:val="B08D57"/>
                <w:spacing w:val="20"/>
                <w:sz w:val="17"/>
                <w:szCs w:val="17"/>
              </w:rPr>
              <w:t>Apresentado por</w:t>
            </w:r>
          </w:p>
          <w:p w14:paraId="790EE4C0" w14:textId="77777777" w:rsidR="00851A0B" w:rsidRDefault="00000000">
            <w:pPr>
              <w:spacing w:after="30"/>
            </w:pPr>
            <w:r>
              <w:rPr>
                <w:b/>
                <w:bCs/>
                <w:color w:val="0D2137"/>
              </w:rPr>
              <w:t>OTEC — Organizações Técnicas de Cadastro</w:t>
            </w:r>
          </w:p>
          <w:p w14:paraId="4B6A9143" w14:textId="77777777" w:rsidR="00851A0B" w:rsidRDefault="00000000">
            <w:pPr>
              <w:spacing w:after="30"/>
            </w:pPr>
            <w:r>
              <w:rPr>
                <w:color w:val="6B7280"/>
                <w:sz w:val="18"/>
                <w:szCs w:val="18"/>
              </w:rPr>
              <w:t>CNPJ 02.237.162/0001-73</w:t>
            </w:r>
          </w:p>
          <w:p w14:paraId="52538663" w14:textId="77777777" w:rsidR="00851A0B" w:rsidRDefault="00000000">
            <w:pPr>
              <w:spacing w:after="30"/>
              <w:rPr>
                <w:color w:val="6B7280"/>
                <w:sz w:val="18"/>
                <w:szCs w:val="18"/>
              </w:rPr>
            </w:pPr>
            <w:r>
              <w:rPr>
                <w:color w:val="6B7280"/>
                <w:sz w:val="18"/>
                <w:szCs w:val="18"/>
              </w:rPr>
              <w:t>Goiânia/GO</w:t>
            </w:r>
          </w:p>
          <w:p w14:paraId="485745EF" w14:textId="649E9E1D" w:rsidR="00442BE9" w:rsidRDefault="00442BE9">
            <w:pPr>
              <w:spacing w:after="30"/>
            </w:pPr>
            <w:r>
              <w:rPr>
                <w:color w:val="6B7280"/>
                <w:sz w:val="18"/>
                <w:szCs w:val="18"/>
              </w:rPr>
              <w:t>José Eliab Alves Caetano</w:t>
            </w:r>
          </w:p>
          <w:p w14:paraId="483E321E" w14:textId="3E0259B1" w:rsidR="00851A0B" w:rsidRDefault="00851A0B" w:rsidP="00442BE9">
            <w:pPr>
              <w:spacing w:after="60"/>
            </w:pP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158211" w14:textId="77777777" w:rsidR="00851A0B" w:rsidRDefault="00851A0B"/>
        </w:tc>
        <w:tc>
          <w:tcPr>
            <w:tcW w:w="4720" w:type="dxa"/>
            <w:tcMar>
              <w:top w:w="120" w:type="dxa"/>
              <w:left w:w="120" w:type="dxa"/>
              <w:bottom w:w="120" w:type="dxa"/>
              <w:right w:w="0" w:type="dxa"/>
            </w:tcMar>
          </w:tcPr>
          <w:p w14:paraId="752B7F7E" w14:textId="77777777" w:rsidR="00851A0B" w:rsidRDefault="00000000">
            <w:pPr>
              <w:spacing w:after="60"/>
            </w:pPr>
            <w:r>
              <w:rPr>
                <w:b/>
                <w:bCs/>
                <w:caps/>
                <w:color w:val="B08D57"/>
                <w:spacing w:val="20"/>
                <w:sz w:val="17"/>
                <w:szCs w:val="17"/>
              </w:rPr>
              <w:t>Apresentado para</w:t>
            </w:r>
          </w:p>
          <w:p w14:paraId="20C70341" w14:textId="77777777" w:rsidR="00851A0B" w:rsidRDefault="00000000">
            <w:pPr>
              <w:spacing w:after="30"/>
            </w:pPr>
            <w:r>
              <w:rPr>
                <w:b/>
                <w:bCs/>
                <w:color w:val="0D2137"/>
              </w:rPr>
              <w:t xml:space="preserve">TKC </w:t>
            </w:r>
            <w:proofErr w:type="spellStart"/>
            <w:r>
              <w:rPr>
                <w:b/>
                <w:bCs/>
                <w:color w:val="0D2137"/>
              </w:rPr>
              <w:t>Group</w:t>
            </w:r>
            <w:proofErr w:type="spellEnd"/>
          </w:p>
          <w:p w14:paraId="0DD49F78" w14:textId="77777777" w:rsidR="00851A0B" w:rsidRDefault="00000000">
            <w:pPr>
              <w:spacing w:after="30"/>
            </w:pPr>
            <w:r>
              <w:rPr>
                <w:color w:val="6B7280"/>
                <w:sz w:val="18"/>
                <w:szCs w:val="18"/>
              </w:rPr>
              <w:t>Holding do ecossistema TKC</w:t>
            </w:r>
          </w:p>
          <w:p w14:paraId="30F683AE" w14:textId="77777777" w:rsidR="00851A0B" w:rsidRDefault="00000000">
            <w:pPr>
              <w:spacing w:after="30"/>
            </w:pPr>
            <w:r>
              <w:rPr>
                <w:color w:val="6B7280"/>
                <w:sz w:val="18"/>
                <w:szCs w:val="18"/>
              </w:rPr>
              <w:t xml:space="preserve">Verticais: Capital · </w:t>
            </w:r>
            <w:proofErr w:type="spellStart"/>
            <w:r>
              <w:rPr>
                <w:color w:val="6B7280"/>
                <w:sz w:val="18"/>
                <w:szCs w:val="18"/>
              </w:rPr>
              <w:t>Tax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· Imóveis</w:t>
            </w:r>
          </w:p>
          <w:p w14:paraId="7C266FD1" w14:textId="77777777" w:rsidR="00851A0B" w:rsidRDefault="00851A0B">
            <w:pPr>
              <w:spacing w:after="60"/>
            </w:pPr>
          </w:p>
          <w:p w14:paraId="699C9B4F" w14:textId="77777777" w:rsidR="00851A0B" w:rsidRDefault="00000000">
            <w:pPr>
              <w:spacing w:after="30"/>
            </w:pPr>
            <w:r>
              <w:rPr>
                <w:b/>
                <w:bCs/>
                <w:color w:val="0D2137"/>
              </w:rPr>
              <w:t>A/C</w:t>
            </w:r>
          </w:p>
          <w:p w14:paraId="37FF259A" w14:textId="77777777" w:rsidR="00851A0B" w:rsidRDefault="00000000">
            <w:pPr>
              <w:spacing w:after="30"/>
            </w:pPr>
            <w:r>
              <w:rPr>
                <w:color w:val="6B7280"/>
                <w:sz w:val="18"/>
                <w:szCs w:val="18"/>
              </w:rPr>
              <w:t>Paulo Tadeu Lopes Vieira</w:t>
            </w:r>
          </w:p>
          <w:p w14:paraId="5252611B" w14:textId="77777777" w:rsidR="00851A0B" w:rsidRDefault="00000000">
            <w:pPr>
              <w:spacing w:after="30"/>
            </w:pPr>
            <w:r>
              <w:rPr>
                <w:color w:val="6B7280"/>
                <w:sz w:val="18"/>
                <w:szCs w:val="18"/>
              </w:rPr>
              <w:t>Carlos Matheus Lopes Vieira</w:t>
            </w:r>
          </w:p>
        </w:tc>
      </w:tr>
    </w:tbl>
    <w:p w14:paraId="47F9304D" w14:textId="77777777" w:rsidR="00851A0B" w:rsidRDefault="00851A0B">
      <w:pPr>
        <w:spacing w:after="260"/>
      </w:pPr>
    </w:p>
    <w:p w14:paraId="3DBED3D0" w14:textId="65A5D69B" w:rsidR="00851A0B" w:rsidRDefault="00851A0B">
      <w:pPr>
        <w:spacing w:after="40"/>
      </w:pPr>
    </w:p>
    <w:p w14:paraId="5CD0A43C" w14:textId="77777777" w:rsidR="00851A0B" w:rsidRDefault="00000000">
      <w:r>
        <w:rPr>
          <w:i/>
          <w:iCs/>
          <w:color w:val="6B7280"/>
          <w:sz w:val="16"/>
          <w:szCs w:val="16"/>
        </w:rPr>
        <w:t>Documento confidencial · Uso restrito ao ecossistema TKC e ao grupo emitente</w:t>
      </w:r>
    </w:p>
    <w:p w14:paraId="4B396B30" w14:textId="77777777" w:rsidR="00851A0B" w:rsidRDefault="00000000">
      <w:r>
        <w:br w:type="page"/>
      </w:r>
    </w:p>
    <w:p w14:paraId="74D1DEA9" w14:textId="77777777" w:rsidR="00851A0B" w:rsidRDefault="00000000">
      <w:pPr>
        <w:pStyle w:val="Ttulo1"/>
        <w:keepNext/>
        <w:pBdr>
          <w:bottom w:val="single" w:sz="6" w:space="6" w:color="B08D57"/>
        </w:pBdr>
        <w:spacing w:before="300" w:after="140"/>
      </w:pPr>
      <w:proofErr w:type="gramStart"/>
      <w:r>
        <w:rPr>
          <w:rFonts w:ascii="Cambria" w:eastAsia="Cambria" w:hAnsi="Cambria" w:cs="Cambria"/>
          <w:b/>
          <w:bCs/>
          <w:color w:val="B08D57"/>
          <w:sz w:val="30"/>
          <w:szCs w:val="30"/>
        </w:rPr>
        <w:lastRenderedPageBreak/>
        <w:t xml:space="preserve">1  </w:t>
      </w:r>
      <w:r>
        <w:rPr>
          <w:rFonts w:ascii="Cambria" w:eastAsia="Cambria" w:hAnsi="Cambria" w:cs="Cambria"/>
          <w:b/>
          <w:bCs/>
          <w:color w:val="0D2137"/>
          <w:sz w:val="30"/>
          <w:szCs w:val="30"/>
        </w:rPr>
        <w:t>Entendimento</w:t>
      </w:r>
      <w:proofErr w:type="gramEnd"/>
      <w:r>
        <w:rPr>
          <w:rFonts w:ascii="Cambria" w:eastAsia="Cambria" w:hAnsi="Cambria" w:cs="Cambria"/>
          <w:b/>
          <w:bCs/>
          <w:color w:val="0D2137"/>
          <w:sz w:val="30"/>
          <w:szCs w:val="30"/>
        </w:rPr>
        <w:t xml:space="preserve"> do Desafio</w:t>
      </w:r>
    </w:p>
    <w:p w14:paraId="3257EB83" w14:textId="77777777" w:rsidR="00851A0B" w:rsidRDefault="00000000" w:rsidP="00442BE9">
      <w:pPr>
        <w:spacing w:after="120" w:line="276" w:lineRule="auto"/>
        <w:jc w:val="both"/>
      </w:pPr>
      <w:r>
        <w:t xml:space="preserve">O ecossistema TKC opera sobre um ativo intangível de altíssimo valor — o conhecimento técnico e comercial das suas verticais — que hoje vive principalmente </w:t>
      </w:r>
      <w:r>
        <w:rPr>
          <w:b/>
          <w:bCs/>
        </w:rPr>
        <w:t>na visão dos fundadores e especialistas de cada área</w:t>
      </w:r>
      <w:r>
        <w:t xml:space="preserve">. Esse é justamente o fator que hoje limita o crescimento: colocar novos vendedores operando com a mesma profundidade e a mesma visão do dono é difícil, porque falta um material de apoio que transfira esse conhecimento de forma estruturada — tanto o “como executar” (técnico) quanto o “como vender” (comercial). Cada nova contratação depende de acompanhamento próximo e informal, o que torna a formação lenta e a escala da equipe limitada. A TKC </w:t>
      </w:r>
      <w:proofErr w:type="spellStart"/>
      <w:r>
        <w:t>Tax</w:t>
      </w:r>
      <w:proofErr w:type="spellEnd"/>
      <w:r>
        <w:t xml:space="preserve"> é o exemplo mais evidente: foi estruturada do zero sobre a visão do seu fundador, e replicar essa mesma qualidade em novos profissionais exige transformar esse conhecimento em algo transmissível. </w:t>
      </w:r>
      <w:proofErr w:type="gramStart"/>
      <w:r>
        <w:t>O mesmo</w:t>
      </w:r>
      <w:proofErr w:type="gramEnd"/>
      <w:r>
        <w:t xml:space="preserve"> se aplica, em graus diferentes, a Capital e Imóveis.</w:t>
      </w:r>
    </w:p>
    <w:p w14:paraId="71F2CCA4" w14:textId="77777777" w:rsidR="00851A0B" w:rsidRDefault="00000000" w:rsidP="00442BE9">
      <w:pPr>
        <w:spacing w:after="120" w:line="276" w:lineRule="auto"/>
        <w:jc w:val="both"/>
      </w:pPr>
      <w:r>
        <w:t xml:space="preserve">Esse conhecimento, por ser financeiro e tributário, é </w:t>
      </w:r>
      <w:r>
        <w:rPr>
          <w:b/>
          <w:bCs/>
        </w:rPr>
        <w:t>volátil</w:t>
      </w:r>
      <w:r>
        <w:t>: muda com a legislação, com a Reforma Tributária, com o mercado. Um material estático nasce desatualizado. A solução precisa ser um organismo vivo, que se mantém atual com governança e rastreabilidade.</w:t>
      </w:r>
    </w:p>
    <w:p w14:paraId="0AA1976F" w14:textId="77777777" w:rsidR="00851A0B" w:rsidRDefault="00000000" w:rsidP="00442BE9">
      <w:pPr>
        <w:spacing w:after="120" w:line="276" w:lineRule="auto"/>
        <w:jc w:val="both"/>
      </w:pPr>
      <w:r>
        <w:t xml:space="preserve">Em paralelo, a operação comercial roda em um CRM de mercado (RD </w:t>
      </w:r>
      <w:proofErr w:type="spellStart"/>
      <w:r>
        <w:t>Station</w:t>
      </w:r>
      <w:proofErr w:type="spellEnd"/>
      <w:r>
        <w:t xml:space="preserve">) que não sustenta as regras que o modelo de negócio da TKC exige. Como o mesmo cliente atravessa as três verticais (pessoa física e jurídica) sob um único “guarda-chuva”, surgem duas fragilidades centrais: o </w:t>
      </w:r>
      <w:r>
        <w:rPr>
          <w:b/>
          <w:bCs/>
        </w:rPr>
        <w:t>cliente/lead não está amarrado à instituição</w:t>
      </w:r>
      <w:r>
        <w:t xml:space="preserve"> (pode ser desviado por quem o atende) e a </w:t>
      </w:r>
      <w:r>
        <w:rPr>
          <w:b/>
          <w:bCs/>
        </w:rPr>
        <w:t>informação fica totalmente exposta</w:t>
      </w:r>
      <w:r>
        <w:t xml:space="preserve"> — quem tem acesso enxerga o cliente por inteiro, comprometendo a segmentação operacional e a conformidade com a LGPD. É exatamente contra esse tipo de fragilidade que a cultura TKC se posiciona: perenidade, retenção e a ideia de que o conhecimento e o cliente pertencem à estrutura, não ao indivíduo.</w:t>
      </w:r>
    </w:p>
    <w:p w14:paraId="743B2782" w14:textId="77777777" w:rsidR="00851A0B" w:rsidRDefault="00000000" w:rsidP="00442BE9">
      <w:pPr>
        <w:spacing w:after="60" w:line="276" w:lineRule="auto"/>
        <w:jc w:val="both"/>
      </w:pPr>
      <w:r>
        <w:t>Esta proposta ataca essas frentes de forma estruturada: transformar o conhecimento dos fundadores em um patrimônio institucional vivo e transferível — o que permite formar novos profissionais mais rápido e escalar as equipes com a mesma qualidade —, disponibilizado através de uma universidade corporativa, e substituir o CRM atual por uma plataforma proprietária que reflita as regras reais do negócio.</w:t>
      </w:r>
    </w:p>
    <w:p w14:paraId="1C678A2F" w14:textId="77777777" w:rsidR="00851A0B" w:rsidRDefault="00000000" w:rsidP="00442BE9">
      <w:pPr>
        <w:pStyle w:val="Ttulo1"/>
        <w:keepNext/>
        <w:pBdr>
          <w:bottom w:val="single" w:sz="6" w:space="6" w:color="B08D57"/>
        </w:pBdr>
        <w:spacing w:before="300" w:after="140"/>
        <w:jc w:val="both"/>
      </w:pPr>
      <w:proofErr w:type="gramStart"/>
      <w:r>
        <w:rPr>
          <w:rFonts w:ascii="Cambria" w:eastAsia="Cambria" w:hAnsi="Cambria" w:cs="Cambria"/>
          <w:b/>
          <w:bCs/>
          <w:color w:val="B08D57"/>
          <w:sz w:val="30"/>
          <w:szCs w:val="30"/>
        </w:rPr>
        <w:t xml:space="preserve">2  </w:t>
      </w:r>
      <w:r>
        <w:rPr>
          <w:rFonts w:ascii="Cambria" w:eastAsia="Cambria" w:hAnsi="Cambria" w:cs="Cambria"/>
          <w:b/>
          <w:bCs/>
          <w:color w:val="0D2137"/>
          <w:sz w:val="30"/>
          <w:szCs w:val="30"/>
        </w:rPr>
        <w:t>Objetivos</w:t>
      </w:r>
      <w:proofErr w:type="gramEnd"/>
    </w:p>
    <w:p w14:paraId="4B2CEC8A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t xml:space="preserve">Extrair, padronizar e documentar como cada produto das três verticais funciona, em dupla camada (técnica e comercial), de forma que qualquer profissional da área leia e </w:t>
      </w:r>
      <w:r>
        <w:rPr>
          <w:b/>
          <w:bCs/>
        </w:rPr>
        <w:t>entre operando e vendendo</w:t>
      </w:r>
      <w:r>
        <w:t>.</w:t>
      </w:r>
    </w:p>
    <w:p w14:paraId="157B3E35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t xml:space="preserve">Transformar esse conhecimento em uma </w:t>
      </w:r>
      <w:r>
        <w:rPr>
          <w:b/>
          <w:bCs/>
        </w:rPr>
        <w:t>Universidade Corporativa TKC</w:t>
      </w:r>
      <w:r>
        <w:t xml:space="preserve"> viva, alinhada à Trilha de Treinamento e à Tríade de Crescimento já existentes.</w:t>
      </w:r>
    </w:p>
    <w:p w14:paraId="340E2317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t>Acelerar a formação de novos profissionais e permitir escalar as equipes comerciais com a mesma visão e qualidade dos fundadores — o conhecimento passa a pertencer ao grupo.</w:t>
      </w:r>
    </w:p>
    <w:p w14:paraId="1D64E6CD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t xml:space="preserve">Entregar um </w:t>
      </w:r>
      <w:r>
        <w:rPr>
          <w:b/>
          <w:bCs/>
        </w:rPr>
        <w:t>CRM proprietário</w:t>
      </w:r>
      <w:r>
        <w:t xml:space="preserve"> que garanta retenção do cliente, segmentação de acesso por produto, rastreabilidade total, gestão documental e acompanhamento proativo do ciclo de vida do cliente.</w:t>
      </w:r>
    </w:p>
    <w:p w14:paraId="42F6F7DA" w14:textId="77777777" w:rsidR="00851A0B" w:rsidRDefault="00000000" w:rsidP="00442BE9">
      <w:pPr>
        <w:pStyle w:val="Ttulo1"/>
        <w:keepNext/>
        <w:pBdr>
          <w:bottom w:val="single" w:sz="6" w:space="6" w:color="B08D57"/>
        </w:pBdr>
        <w:spacing w:before="300" w:after="140"/>
        <w:jc w:val="both"/>
      </w:pPr>
      <w:proofErr w:type="gramStart"/>
      <w:r>
        <w:rPr>
          <w:rFonts w:ascii="Cambria" w:eastAsia="Cambria" w:hAnsi="Cambria" w:cs="Cambria"/>
          <w:b/>
          <w:bCs/>
          <w:color w:val="B08D57"/>
          <w:sz w:val="30"/>
          <w:szCs w:val="30"/>
        </w:rPr>
        <w:t xml:space="preserve">3  </w:t>
      </w:r>
      <w:r>
        <w:rPr>
          <w:rFonts w:ascii="Cambria" w:eastAsia="Cambria" w:hAnsi="Cambria" w:cs="Cambria"/>
          <w:b/>
          <w:bCs/>
          <w:color w:val="0D2137"/>
          <w:sz w:val="30"/>
          <w:szCs w:val="30"/>
        </w:rPr>
        <w:t>Escopo</w:t>
      </w:r>
      <w:proofErr w:type="gramEnd"/>
      <w:r>
        <w:rPr>
          <w:rFonts w:ascii="Cambria" w:eastAsia="Cambria" w:hAnsi="Cambria" w:cs="Cambria"/>
          <w:b/>
          <w:bCs/>
          <w:color w:val="0D2137"/>
          <w:sz w:val="30"/>
          <w:szCs w:val="30"/>
        </w:rPr>
        <w:t xml:space="preserve"> Macro</w:t>
      </w:r>
    </w:p>
    <w:p w14:paraId="178F3493" w14:textId="77777777" w:rsidR="00851A0B" w:rsidRDefault="00000000" w:rsidP="00442BE9">
      <w:pPr>
        <w:spacing w:after="120" w:line="276" w:lineRule="auto"/>
        <w:jc w:val="both"/>
      </w:pPr>
      <w:r>
        <w:t>O projeto é organizado em três frentes complementares, contratadas como um projeto único fechado e executadas na ordem definida no cronograma.</w:t>
      </w:r>
    </w:p>
    <w:p w14:paraId="6BE09EBA" w14:textId="77777777" w:rsidR="00851A0B" w:rsidRDefault="00000000" w:rsidP="00442BE9">
      <w:pPr>
        <w:pStyle w:val="Ttulo2"/>
        <w:keepNext/>
        <w:spacing w:before="220" w:after="90"/>
        <w:jc w:val="both"/>
      </w:pPr>
      <w:r>
        <w:rPr>
          <w:rFonts w:ascii="Cambria" w:eastAsia="Cambria" w:hAnsi="Cambria" w:cs="Cambria"/>
          <w:b/>
          <w:bCs/>
          <w:color w:val="2E5C9E"/>
          <w:sz w:val="24"/>
          <w:szCs w:val="24"/>
        </w:rPr>
        <w:t>Frente 1 — Institucionalização do Conhecimento (Conteúdo)</w:t>
      </w:r>
    </w:p>
    <w:p w14:paraId="23362FAC" w14:textId="77777777" w:rsidR="00851A0B" w:rsidRDefault="00000000" w:rsidP="00442BE9">
      <w:pPr>
        <w:spacing w:after="120" w:line="276" w:lineRule="auto"/>
        <w:jc w:val="both"/>
      </w:pPr>
      <w:r>
        <w:t xml:space="preserve">Levantamento, com os detentores do conhecimento de cada vertical, de como cada produto funciona (“o protocolo” — o passo a passo de execução) e transformação disso em material de dupla camada: </w:t>
      </w:r>
      <w:r>
        <w:rPr>
          <w:b/>
          <w:bCs/>
        </w:rPr>
        <w:t>técnica</w:t>
      </w:r>
      <w:r>
        <w:t xml:space="preserve"> (como executar) e </w:t>
      </w:r>
      <w:r>
        <w:rPr>
          <w:b/>
          <w:bCs/>
        </w:rPr>
        <w:t>comercial</w:t>
      </w:r>
      <w:r>
        <w:t xml:space="preserve"> (como posicionar e vender — prioridade máxima do projeto). O material segue o tom de voz e o posicionamento definidos no Manual de Marca (autoridade sem arrogância, sofisticação, independência).</w:t>
      </w:r>
    </w:p>
    <w:p w14:paraId="70CF94C0" w14:textId="77777777" w:rsidR="00851A0B" w:rsidRDefault="00000000" w:rsidP="00442BE9">
      <w:pPr>
        <w:spacing w:after="80" w:line="276" w:lineRule="auto"/>
        <w:jc w:val="both"/>
      </w:pPr>
      <w:r>
        <w:lastRenderedPageBreak/>
        <w:t>Fontes de conhecimento mapeadas:</w:t>
      </w:r>
    </w:p>
    <w:tbl>
      <w:tblPr>
        <w:tblW w:w="9720" w:type="dxa"/>
        <w:tblBorders>
          <w:top w:val="single" w:sz="2" w:space="0" w:color="D9DEE6"/>
          <w:left w:val="none" w:sz="0" w:space="0" w:color="FFFFFF"/>
          <w:bottom w:val="single" w:sz="2" w:space="0" w:color="D9DEE6"/>
          <w:right w:val="none" w:sz="0" w:space="0" w:color="FFFFFF"/>
          <w:insideH w:val="single" w:sz="2" w:space="0" w:color="E5E9E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820"/>
      </w:tblGrid>
      <w:tr w:rsidR="00851A0B" w14:paraId="3E2381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0D213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8A7D96" w14:textId="77777777" w:rsidR="00851A0B" w:rsidRDefault="00000000" w:rsidP="00442BE9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Vertical</w:t>
            </w:r>
          </w:p>
        </w:tc>
        <w:tc>
          <w:tcPr>
            <w:tcW w:w="6820" w:type="dxa"/>
            <w:shd w:val="clear" w:color="auto" w:fill="0D213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00DCCD" w14:textId="77777777" w:rsidR="00851A0B" w:rsidRDefault="00000000" w:rsidP="00442BE9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Fonte(s) do conhecimento</w:t>
            </w:r>
          </w:p>
        </w:tc>
      </w:tr>
      <w:tr w:rsidR="00851A0B" w14:paraId="241D6B1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321AFB0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TKC Capital</w:t>
            </w:r>
          </w:p>
        </w:tc>
        <w:tc>
          <w:tcPr>
            <w:tcW w:w="682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5DEB6B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Paulo Tadeu + Carlos Matheus</w:t>
            </w:r>
          </w:p>
        </w:tc>
      </w:tr>
      <w:tr w:rsidR="00851A0B" w14:paraId="21EB0DF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A16D7B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 xml:space="preserve">TKC </w:t>
            </w:r>
            <w:proofErr w:type="spellStart"/>
            <w:r>
              <w:rPr>
                <w:sz w:val="19"/>
                <w:szCs w:val="19"/>
              </w:rPr>
              <w:t>Tax</w:t>
            </w:r>
            <w:proofErr w:type="spellEnd"/>
          </w:p>
        </w:tc>
        <w:tc>
          <w:tcPr>
            <w:tcW w:w="682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6F1B64A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Dr. Ricardo Pires</w:t>
            </w:r>
          </w:p>
        </w:tc>
      </w:tr>
      <w:tr w:rsidR="00851A0B" w14:paraId="50C4EB2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83E22C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TKC Imóveis</w:t>
            </w:r>
          </w:p>
        </w:tc>
        <w:tc>
          <w:tcPr>
            <w:tcW w:w="682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888E39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Karla Lopes (+ Yuri Dias, para crédito imobiliário)</w:t>
            </w:r>
          </w:p>
        </w:tc>
      </w:tr>
    </w:tbl>
    <w:p w14:paraId="2D7F590B" w14:textId="77777777" w:rsidR="00851A0B" w:rsidRDefault="00851A0B" w:rsidP="00442BE9">
      <w:pPr>
        <w:spacing w:after="80"/>
        <w:jc w:val="both"/>
      </w:pPr>
    </w:p>
    <w:p w14:paraId="0987D537" w14:textId="77777777" w:rsidR="00851A0B" w:rsidRDefault="00000000" w:rsidP="00442BE9">
      <w:pPr>
        <w:spacing w:after="120" w:line="276" w:lineRule="auto"/>
        <w:jc w:val="both"/>
      </w:pPr>
      <w:r>
        <w:rPr>
          <w:b/>
          <w:bCs/>
        </w:rPr>
        <w:t xml:space="preserve">Entregáveis: </w:t>
      </w:r>
      <w:r>
        <w:t xml:space="preserve">protocolos por produto (técnico + comercial), </w:t>
      </w:r>
      <w:proofErr w:type="spellStart"/>
      <w:r>
        <w:t>playbook</w:t>
      </w:r>
      <w:proofErr w:type="spellEnd"/>
      <w:r>
        <w:t xml:space="preserve"> comercial consolidado do ecossistema e trilha de </w:t>
      </w:r>
      <w:proofErr w:type="spellStart"/>
      <w:r>
        <w:t>onboarding</w:t>
      </w:r>
      <w:proofErr w:type="spellEnd"/>
      <w:r>
        <w:t xml:space="preserve"> para novos colaboradores, encaixados no módulo “Produtos e Soluções” da Trilha de Treinamento TKC.</w:t>
      </w:r>
    </w:p>
    <w:p w14:paraId="3B0B46C5" w14:textId="77777777" w:rsidR="00851A0B" w:rsidRDefault="00000000" w:rsidP="00442BE9">
      <w:pPr>
        <w:pStyle w:val="Ttulo2"/>
        <w:keepNext/>
        <w:spacing w:before="220" w:after="90"/>
        <w:jc w:val="both"/>
      </w:pPr>
      <w:r>
        <w:rPr>
          <w:rFonts w:ascii="Cambria" w:eastAsia="Cambria" w:hAnsi="Cambria" w:cs="Cambria"/>
          <w:b/>
          <w:bCs/>
          <w:color w:val="2E5C9E"/>
          <w:sz w:val="24"/>
          <w:szCs w:val="24"/>
        </w:rPr>
        <w:t>Frente 2 — Universidade Corporativa Viva (Plataforma de Ensino)</w:t>
      </w:r>
    </w:p>
    <w:p w14:paraId="3AA6B85A" w14:textId="77777777" w:rsidR="00851A0B" w:rsidRDefault="00000000" w:rsidP="00442BE9">
      <w:pPr>
        <w:spacing w:after="120" w:line="276" w:lineRule="auto"/>
        <w:jc w:val="both"/>
      </w:pPr>
      <w:r>
        <w:t>Plataforma onde o conteúdo da Frente 1 vira cursos, trilhas, avaliações e certificados, com acompanhamento de progresso — estruturada sobre a cultura de desenvolvimento já formalizada pela TKC. Contempla:</w:t>
      </w:r>
    </w:p>
    <w:p w14:paraId="28FB24CC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rPr>
          <w:b/>
          <w:bCs/>
        </w:rPr>
        <w:t>Trilha de Treinamento</w:t>
      </w:r>
      <w:r>
        <w:t xml:space="preserve"> com os 7 módulos já definidos (História, Arquitetura, Marca, Experiência do Cliente, Comunicação, Tom de Voz, Produtos e Soluções).</w:t>
      </w:r>
    </w:p>
    <w:p w14:paraId="45BF6041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rPr>
          <w:b/>
          <w:bCs/>
        </w:rPr>
        <w:t>Estrutura da Tríade de Crescimento</w:t>
      </w:r>
      <w:r>
        <w:t xml:space="preserve"> (pilares Financeiro, Cognitivo e Comportamental) e do ciclo Aprender → Aprimorar → Prosperar → Perpetuar.</w:t>
      </w:r>
    </w:p>
    <w:p w14:paraId="59DC75A7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rPr>
          <w:b/>
          <w:bCs/>
        </w:rPr>
        <w:t>PAI — Plano de Aprimoramento Individual</w:t>
      </w:r>
      <w:r>
        <w:t>: acompanhamento por colaborador, metas/KPIs, avaliações periódicas (trimestrais), reconhecimento e certificação.</w:t>
      </w:r>
    </w:p>
    <w:p w14:paraId="799A71EA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rPr>
          <w:b/>
          <w:bCs/>
        </w:rPr>
        <w:t>Conteúdo vivo com atualização assistida por IA</w:t>
      </w:r>
      <w:r>
        <w:t xml:space="preserve"> (diferencial central, detalhado abaixo).</w:t>
      </w:r>
    </w:p>
    <w:p w14:paraId="35110D94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t>Identidade visual TKC, avaliações, emissão de certificados e treinamento dos administradores.</w:t>
      </w:r>
    </w:p>
    <w:p w14:paraId="6A42AC12" w14:textId="77777777" w:rsidR="00851A0B" w:rsidRDefault="00851A0B" w:rsidP="00442BE9">
      <w:pPr>
        <w:spacing w:after="40"/>
        <w:jc w:val="both"/>
      </w:pPr>
    </w:p>
    <w:tbl>
      <w:tblPr>
        <w:tblW w:w="9720" w:type="dxa"/>
        <w:tblBorders>
          <w:top w:val="none" w:sz="0" w:space="0" w:color="FFFFFF"/>
          <w:left w:val="single" w:sz="24" w:space="0" w:color="2E5C9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851A0B" w14:paraId="3FB7DF8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shd w:val="clear" w:color="auto" w:fill="EEF3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AD02F6B" w14:textId="77777777" w:rsidR="00851A0B" w:rsidRDefault="00000000" w:rsidP="00442BE9">
            <w:pPr>
              <w:spacing w:line="264" w:lineRule="auto"/>
              <w:jc w:val="both"/>
            </w:pPr>
            <w:r>
              <w:rPr>
                <w:b/>
                <w:bCs/>
                <w:color w:val="0D2137"/>
              </w:rPr>
              <w:t xml:space="preserve">Módulo de Conteúdo Vivo (IA + edição + aprovação humana).  </w:t>
            </w:r>
            <w:r>
              <w:t>Como o conteúdo é volátil, cada tela de conteúdo tem um ciclo de atualização controlado: um usuário autorizado, dentro da própria tela, aciona um assistente (</w:t>
            </w:r>
            <w:proofErr w:type="spellStart"/>
            <w:r>
              <w:t>chatbot</w:t>
            </w:r>
            <w:proofErr w:type="spellEnd"/>
            <w:r>
              <w:t xml:space="preserve">), descreve a mudança do processo, e a IA gera uma versão revisada daquela tela como publicação temporária (rascunho), devolvendo o link ao solicitante. Na tela de rascunho, o usuário pode ajustar manualmente o conteúdo gerado pela IA — corrigir, complementar ou reescrever trechos — antes de decidir. Ele então aprova ou reprova: se reprova, o rascunho é descartado; se aprova, é publicada a versão com as edições dele já salvas (não a versão bruta da IA), substituindo o conteúdo original. Cada solicitação, edição, aprovação e reprovação fica </w:t>
            </w:r>
            <w:proofErr w:type="spellStart"/>
            <w:r>
              <w:t>versionada</w:t>
            </w:r>
            <w:proofErr w:type="spellEnd"/>
            <w:r>
              <w:t xml:space="preserve"> e auditada (quem pediu, o que a IA gerou, o que foi editado, quem aprovou, quando), transformando o material em um organismo vivo com histórico completo.</w:t>
            </w:r>
          </w:p>
        </w:tc>
      </w:tr>
    </w:tbl>
    <w:p w14:paraId="0C073F13" w14:textId="77777777" w:rsidR="00851A0B" w:rsidRDefault="00851A0B" w:rsidP="00442BE9">
      <w:pPr>
        <w:spacing w:after="60"/>
        <w:jc w:val="both"/>
      </w:pPr>
    </w:p>
    <w:p w14:paraId="0D0B6724" w14:textId="77777777" w:rsidR="00851A0B" w:rsidRDefault="00000000" w:rsidP="00442BE9">
      <w:pPr>
        <w:spacing w:after="120" w:line="276" w:lineRule="auto"/>
        <w:jc w:val="both"/>
      </w:pPr>
      <w:r>
        <w:rPr>
          <w:i/>
          <w:iCs/>
          <w:color w:val="6B7280"/>
        </w:rPr>
        <w:t xml:space="preserve">Observação técnica: </w:t>
      </w:r>
      <w:r>
        <w:rPr>
          <w:i/>
          <w:iCs/>
          <w:color w:val="6B7280"/>
          <w:sz w:val="19"/>
          <w:szCs w:val="19"/>
        </w:rPr>
        <w:t>um LMS de mercado (ex.: Moodle) cobre trilhas, avaliações e certificação de forma nativa, mas não oferece o módulo de conteúdo vivo com IA nem o PAI no formato TKC. Esses componentes são desenvolvimento sob medida — ver dois cenários de arquitetura no item 7.</w:t>
      </w:r>
    </w:p>
    <w:p w14:paraId="09807C24" w14:textId="77777777" w:rsidR="00851A0B" w:rsidRDefault="00000000" w:rsidP="00442BE9">
      <w:pPr>
        <w:pStyle w:val="Ttulo2"/>
        <w:keepNext/>
        <w:spacing w:before="220" w:after="90"/>
        <w:jc w:val="both"/>
      </w:pPr>
      <w:r>
        <w:rPr>
          <w:rFonts w:ascii="Cambria" w:eastAsia="Cambria" w:hAnsi="Cambria" w:cs="Cambria"/>
          <w:b/>
          <w:bCs/>
          <w:color w:val="2E5C9E"/>
          <w:sz w:val="24"/>
          <w:szCs w:val="24"/>
        </w:rPr>
        <w:t>Frente 3 — CRM Proprietário Segmentado</w:t>
      </w:r>
    </w:p>
    <w:p w14:paraId="21271D10" w14:textId="77777777" w:rsidR="00851A0B" w:rsidRDefault="00000000" w:rsidP="00442BE9">
      <w:pPr>
        <w:spacing w:after="120" w:line="276" w:lineRule="auto"/>
        <w:jc w:val="both"/>
      </w:pPr>
      <w:r>
        <w:t xml:space="preserve">Desenvolvimento de plataforma própria de CRM (decisão fechada — não há dúvida quanto a ser CRM próprio), substituindo o RD </w:t>
      </w:r>
      <w:proofErr w:type="spellStart"/>
      <w:r>
        <w:t>Station</w:t>
      </w:r>
      <w:proofErr w:type="spellEnd"/>
      <w:r>
        <w:t xml:space="preserve">. O CRM próprio precisa </w:t>
      </w:r>
      <w:r>
        <w:rPr>
          <w:b/>
          <w:bCs/>
        </w:rPr>
        <w:t xml:space="preserve">cobrir a base de funcionalidades que a TKC já utiliza no RD </w:t>
      </w:r>
      <w:proofErr w:type="spellStart"/>
      <w:r>
        <w:rPr>
          <w:b/>
          <w:bCs/>
        </w:rPr>
        <w:t>Station</w:t>
      </w:r>
      <w:proofErr w:type="spellEnd"/>
      <w:r>
        <w:t xml:space="preserve"> (ou boa parte dela) </w:t>
      </w:r>
      <w:r>
        <w:rPr>
          <w:b/>
          <w:bCs/>
        </w:rPr>
        <w:t>somada</w:t>
      </w:r>
      <w:r>
        <w:t xml:space="preserve"> aos requisitos exclusivos do modelo de negócio da TKC, que o RD não atende.</w:t>
      </w:r>
    </w:p>
    <w:p w14:paraId="7492BA30" w14:textId="77777777" w:rsidR="00851A0B" w:rsidRDefault="00000000" w:rsidP="00442BE9">
      <w:pPr>
        <w:spacing w:after="80" w:line="276" w:lineRule="auto"/>
        <w:jc w:val="both"/>
      </w:pPr>
      <w:r>
        <w:rPr>
          <w:b/>
          <w:bCs/>
          <w:color w:val="0D2137"/>
        </w:rPr>
        <w:t xml:space="preserve">Bloco A — Núcleo equivalente ao RD </w:t>
      </w:r>
      <w:proofErr w:type="spellStart"/>
      <w:r>
        <w:rPr>
          <w:b/>
          <w:bCs/>
          <w:color w:val="0D2137"/>
        </w:rPr>
        <w:t>Station</w:t>
      </w:r>
      <w:proofErr w:type="spellEnd"/>
      <w:r>
        <w:rPr>
          <w:b/>
          <w:bCs/>
          <w:color w:val="0D2137"/>
        </w:rPr>
        <w:t xml:space="preserve"> (base a preservar). </w:t>
      </w:r>
      <w:r>
        <w:t>Funcionalidades hoje disponíveis na ferramenta atual que o CRM próprio deve replicar:</w:t>
      </w:r>
    </w:p>
    <w:tbl>
      <w:tblPr>
        <w:tblW w:w="9720" w:type="dxa"/>
        <w:tblBorders>
          <w:top w:val="single" w:sz="2" w:space="0" w:color="D9DEE6"/>
          <w:left w:val="none" w:sz="0" w:space="0" w:color="FFFFFF"/>
          <w:bottom w:val="single" w:sz="2" w:space="0" w:color="D9DEE6"/>
          <w:right w:val="none" w:sz="0" w:space="0" w:color="FFFFFF"/>
          <w:insideH w:val="single" w:sz="2" w:space="0" w:color="E5E9E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020"/>
      </w:tblGrid>
      <w:tr w:rsidR="00851A0B" w14:paraId="02ED07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D213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BFDB94D" w14:textId="77777777" w:rsidR="00851A0B" w:rsidRDefault="00000000" w:rsidP="00442BE9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7020" w:type="dxa"/>
            <w:shd w:val="clear" w:color="auto" w:fill="0D213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FBA8E2D" w14:textId="77777777" w:rsidR="00851A0B" w:rsidRDefault="00000000" w:rsidP="00442BE9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Funcionalidades</w:t>
            </w:r>
          </w:p>
        </w:tc>
      </w:tr>
      <w:tr w:rsidR="00851A0B" w14:paraId="5FEF611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A495BB6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Funil de vendas</w:t>
            </w:r>
          </w:p>
        </w:tc>
        <w:tc>
          <w:tcPr>
            <w:tcW w:w="702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503ADF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Múltiplos funis personalizáveis, etapas configuráveis, visão de pipeline, obrigatoriedade de campos por etapa, movimentação automática entre etapas</w:t>
            </w:r>
          </w:p>
        </w:tc>
      </w:tr>
      <w:tr w:rsidR="00851A0B" w14:paraId="433929C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D6D8925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lastRenderedPageBreak/>
              <w:t>Automação de vendas</w:t>
            </w:r>
          </w:p>
        </w:tc>
        <w:tc>
          <w:tcPr>
            <w:tcW w:w="702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335B0E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Gatilhos → ações (criar tarefa, enviar e-mail/WhatsApp, mudar etapa, alterar responsável); modelos prontos; automação de follow-up</w:t>
            </w:r>
          </w:p>
        </w:tc>
      </w:tr>
      <w:tr w:rsidR="00851A0B" w14:paraId="2AFF82F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304EE0C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Priorização por IA</w:t>
            </w:r>
          </w:p>
        </w:tc>
        <w:tc>
          <w:tcPr>
            <w:tcW w:w="702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2CF6A8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Identificação das negociações com maior potencial de conversão e sugestão de próximas ações</w:t>
            </w:r>
          </w:p>
        </w:tc>
      </w:tr>
      <w:tr w:rsidR="00851A0B" w14:paraId="380C59E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75133B3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Integração WhatsApp</w:t>
            </w:r>
          </w:p>
        </w:tc>
        <w:tc>
          <w:tcPr>
            <w:tcW w:w="702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39234E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Atualizar o CRM pelo WhatsApp (texto/voz), histórico do cliente na conversa, registro de anotações/áudios, sugestões de tarefa por IA a partir das conversas</w:t>
            </w:r>
          </w:p>
        </w:tc>
      </w:tr>
      <w:tr w:rsidR="00851A0B" w14:paraId="0412764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E1C26B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 xml:space="preserve">Atendimento / </w:t>
            </w:r>
            <w:proofErr w:type="spellStart"/>
            <w:r>
              <w:rPr>
                <w:sz w:val="19"/>
                <w:szCs w:val="19"/>
              </w:rPr>
              <w:t>Chatbot</w:t>
            </w:r>
            <w:proofErr w:type="spellEnd"/>
          </w:p>
        </w:tc>
        <w:tc>
          <w:tcPr>
            <w:tcW w:w="702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EC5200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 xml:space="preserve">Agentes de IA no atendimento, </w:t>
            </w:r>
            <w:proofErr w:type="spellStart"/>
            <w:r>
              <w:rPr>
                <w:sz w:val="19"/>
                <w:szCs w:val="19"/>
              </w:rPr>
              <w:t>chatbot</w:t>
            </w:r>
            <w:proofErr w:type="spellEnd"/>
            <w:r>
              <w:rPr>
                <w:sz w:val="19"/>
                <w:szCs w:val="19"/>
              </w:rPr>
              <w:t>, atendimento automatizado, painel de operadores e tempo médio</w:t>
            </w:r>
          </w:p>
        </w:tc>
      </w:tr>
      <w:tr w:rsidR="00851A0B" w14:paraId="4380EB8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508F68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Gestão de equipe</w:t>
            </w:r>
          </w:p>
        </w:tc>
        <w:tc>
          <w:tcPr>
            <w:tcW w:w="702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9A6E29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Equipes, metas por vendedor/equipe, acompanhamento de produtividade em tempo real, permissões por perfil de usuário</w:t>
            </w:r>
          </w:p>
        </w:tc>
      </w:tr>
      <w:tr w:rsidR="00851A0B" w14:paraId="582E5A5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3D811E0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Relatórios / BI</w:t>
            </w:r>
          </w:p>
        </w:tc>
        <w:tc>
          <w:tcPr>
            <w:tcW w:w="702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329FEE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Dashboards personalizados (arrasta e solta, filtros), performance de vendas, atividade, tempo de 1º contato, negociações concluídas + motivos de perda, produtos/serviços, CRM live, insights por IA</w:t>
            </w:r>
          </w:p>
        </w:tc>
      </w:tr>
      <w:tr w:rsidR="00851A0B" w14:paraId="5CF75B9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54C45CD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Captação de leads</w:t>
            </w:r>
          </w:p>
        </w:tc>
        <w:tc>
          <w:tcPr>
            <w:tcW w:w="702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A1E718F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Formulários/captura de leads e distribuição (marketing/campanhas a definir no escopo detalhado)</w:t>
            </w:r>
          </w:p>
        </w:tc>
      </w:tr>
    </w:tbl>
    <w:p w14:paraId="18822F4A" w14:textId="77777777" w:rsidR="00851A0B" w:rsidRDefault="00851A0B" w:rsidP="00442BE9">
      <w:pPr>
        <w:spacing w:after="100"/>
        <w:jc w:val="both"/>
      </w:pPr>
    </w:p>
    <w:p w14:paraId="555CE586" w14:textId="77777777" w:rsidR="00851A0B" w:rsidRDefault="00000000" w:rsidP="00442BE9">
      <w:pPr>
        <w:spacing w:after="80" w:line="276" w:lineRule="auto"/>
        <w:jc w:val="both"/>
      </w:pPr>
      <w:r>
        <w:rPr>
          <w:b/>
          <w:bCs/>
          <w:color w:val="0D2137"/>
        </w:rPr>
        <w:t xml:space="preserve">Bloco B — Requisitos exclusivos da TKC (o que o RD não faz). </w:t>
      </w:r>
      <w:r>
        <w:t>O diferencial do CRM próprio:</w:t>
      </w:r>
    </w:p>
    <w:tbl>
      <w:tblPr>
        <w:tblW w:w="9720" w:type="dxa"/>
        <w:tblBorders>
          <w:top w:val="single" w:sz="2" w:space="0" w:color="D9DEE6"/>
          <w:left w:val="none" w:sz="0" w:space="0" w:color="FFFFFF"/>
          <w:bottom w:val="single" w:sz="2" w:space="0" w:color="D9DEE6"/>
          <w:right w:val="none" w:sz="0" w:space="0" w:color="FFFFFF"/>
          <w:insideH w:val="single" w:sz="2" w:space="0" w:color="E5E9E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640"/>
        <w:gridCol w:w="6520"/>
      </w:tblGrid>
      <w:tr w:rsidR="00851A0B" w14:paraId="7A30BE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shd w:val="clear" w:color="auto" w:fill="0D213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7DE35FF" w14:textId="77777777" w:rsidR="00851A0B" w:rsidRDefault="00000000" w:rsidP="00442BE9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40" w:type="dxa"/>
            <w:shd w:val="clear" w:color="auto" w:fill="0D213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CA5C31" w14:textId="77777777" w:rsidR="00851A0B" w:rsidRDefault="00000000" w:rsidP="00442BE9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6520" w:type="dxa"/>
            <w:shd w:val="clear" w:color="auto" w:fill="0D213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83F9480" w14:textId="77777777" w:rsidR="00851A0B" w:rsidRDefault="00000000" w:rsidP="00442BE9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851A0B" w14:paraId="5F07DD2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F6EFFB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4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E613724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Retenção do lead/cliente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8D3A71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Lead e cliente amarrados ao sistema (não à pessoa); sem possibilidade de desvio para fora do ecossistema</w:t>
            </w:r>
          </w:p>
        </w:tc>
      </w:tr>
      <w:tr w:rsidR="00851A0B" w14:paraId="5428FC0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BB6A9F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4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F6269B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Segmentação por produto</w:t>
            </w:r>
          </w:p>
        </w:tc>
        <w:tc>
          <w:tcPr>
            <w:tcW w:w="652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340823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Acesso restrito ao produto/área dentro do próprio cliente — o operador vê só o seu recorte, não os demais produtos daquele cliente</w:t>
            </w:r>
          </w:p>
        </w:tc>
      </w:tr>
      <w:tr w:rsidR="00851A0B" w14:paraId="70146A7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35AA104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4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6E000EE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Visão 360° do líder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A906235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Visão consolidada de todos os produtos/áreas do cliente exclusiva do líder comercial (proteção à exposição / LGPD)</w:t>
            </w:r>
          </w:p>
        </w:tc>
      </w:tr>
      <w:tr w:rsidR="00851A0B" w14:paraId="7E70E5A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A461214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4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D306CFF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 xml:space="preserve">Estrutura </w:t>
            </w:r>
            <w:proofErr w:type="spellStart"/>
            <w:r>
              <w:rPr>
                <w:sz w:val="19"/>
                <w:szCs w:val="19"/>
              </w:rPr>
              <w:t>multi-empresa</w:t>
            </w:r>
            <w:proofErr w:type="spellEnd"/>
          </w:p>
        </w:tc>
        <w:tc>
          <w:tcPr>
            <w:tcW w:w="652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5D24369" w14:textId="77777777" w:rsidR="00851A0B" w:rsidRDefault="00000000" w:rsidP="00442BE9">
            <w:pPr>
              <w:spacing w:line="252" w:lineRule="auto"/>
              <w:jc w:val="both"/>
            </w:pPr>
            <w:proofErr w:type="spellStart"/>
            <w:r>
              <w:rPr>
                <w:sz w:val="19"/>
                <w:szCs w:val="19"/>
              </w:rPr>
              <w:t>Group</w:t>
            </w:r>
            <w:proofErr w:type="spellEnd"/>
            <w:r>
              <w:rPr>
                <w:sz w:val="19"/>
                <w:szCs w:val="19"/>
              </w:rPr>
              <w:t xml:space="preserve">, Capital, </w:t>
            </w:r>
            <w:proofErr w:type="spellStart"/>
            <w:r>
              <w:rPr>
                <w:sz w:val="19"/>
                <w:szCs w:val="19"/>
              </w:rPr>
              <w:t>Tax</w:t>
            </w:r>
            <w:proofErr w:type="spellEnd"/>
            <w:r>
              <w:rPr>
                <w:sz w:val="19"/>
                <w:szCs w:val="19"/>
              </w:rPr>
              <w:t xml:space="preserve"> e Imóveis num único CRM, com catálogo de produtos por vertical</w:t>
            </w:r>
          </w:p>
        </w:tc>
      </w:tr>
      <w:tr w:rsidR="00851A0B" w14:paraId="7DCCBA4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269DE4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64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0842174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Follow-up proativo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0408A6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Motor de lembretes por vigência de contrato (renovações de seguro, plano de saúde etc.) que avisa o vendedor automaticamente</w:t>
            </w:r>
          </w:p>
        </w:tc>
      </w:tr>
      <w:tr w:rsidR="00851A0B" w14:paraId="35F2CFA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12D8EF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64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192A02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Auditoria imutável</w:t>
            </w:r>
          </w:p>
        </w:tc>
        <w:tc>
          <w:tcPr>
            <w:tcW w:w="652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6D58C2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Nada é apagado fisicamente; exclusão lógica (soft delete) + histórico completo de quem fez o quê e quando — válido para todos os níveis, inclusive diretoria</w:t>
            </w:r>
          </w:p>
        </w:tc>
      </w:tr>
      <w:tr w:rsidR="00851A0B" w14:paraId="0AB519F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146CCB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64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9E73A7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Gestão documental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C78139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Upload da documentação do cliente dentro da plataforma, segmentada por área (consolidação visível ao líder)</w:t>
            </w:r>
          </w:p>
        </w:tc>
      </w:tr>
      <w:tr w:rsidR="00851A0B" w14:paraId="3771F32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0B2ADD0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64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1C2F987" w14:textId="77777777" w:rsidR="00851A0B" w:rsidRDefault="00000000" w:rsidP="00442BE9">
            <w:pPr>
              <w:spacing w:line="252" w:lineRule="auto"/>
              <w:jc w:val="both"/>
            </w:pPr>
            <w:proofErr w:type="spellStart"/>
            <w:r>
              <w:rPr>
                <w:sz w:val="19"/>
                <w:szCs w:val="19"/>
              </w:rPr>
              <w:t>Handoff</w:t>
            </w:r>
            <w:proofErr w:type="spellEnd"/>
            <w:r>
              <w:rPr>
                <w:sz w:val="19"/>
                <w:szCs w:val="19"/>
              </w:rPr>
              <w:t xml:space="preserve"> de cliente</w:t>
            </w:r>
          </w:p>
        </w:tc>
        <w:tc>
          <w:tcPr>
            <w:tcW w:w="652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EB7845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Passagem controlada de cliente entre analistas, preservando todo o histórico de atendimento</w:t>
            </w:r>
          </w:p>
        </w:tc>
      </w:tr>
    </w:tbl>
    <w:p w14:paraId="298A7517" w14:textId="77777777" w:rsidR="00851A0B" w:rsidRDefault="00851A0B" w:rsidP="00442BE9">
      <w:pPr>
        <w:spacing w:after="100"/>
        <w:jc w:val="both"/>
      </w:pPr>
    </w:p>
    <w:tbl>
      <w:tblPr>
        <w:tblW w:w="9720" w:type="dxa"/>
        <w:tblBorders>
          <w:top w:val="none" w:sz="0" w:space="0" w:color="FFFFFF"/>
          <w:left w:val="single" w:sz="24" w:space="0" w:color="2E5C9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851A0B" w14:paraId="79FA846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shd w:val="clear" w:color="auto" w:fill="EEF3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FBABD3C" w14:textId="77777777" w:rsidR="00851A0B" w:rsidRDefault="00000000" w:rsidP="00442BE9">
            <w:pPr>
              <w:spacing w:line="264" w:lineRule="auto"/>
              <w:jc w:val="both"/>
            </w:pPr>
            <w:r>
              <w:t xml:space="preserve">Vários itens do Bloco A reforçam requisitos do Bloco B: a automação de vendas por gatilho é a mesma base do follow-up proativo (5) e do </w:t>
            </w:r>
            <w:proofErr w:type="spellStart"/>
            <w:r>
              <w:t>handoff</w:t>
            </w:r>
            <w:proofErr w:type="spellEnd"/>
            <w:r>
              <w:t xml:space="preserve"> (8); as permissões por perfil são o ponto de partida da segmentação por produto (2 e 3). A construção aproveita essa sobreposição, mas o resultado é uma plataforma coerente e única — não a soma de dois sistemas.</w:t>
            </w:r>
          </w:p>
        </w:tc>
      </w:tr>
    </w:tbl>
    <w:p w14:paraId="1AB5786C" w14:textId="77777777" w:rsidR="00851A0B" w:rsidRDefault="00851A0B" w:rsidP="00442BE9">
      <w:pPr>
        <w:spacing w:after="80"/>
        <w:jc w:val="both"/>
      </w:pPr>
    </w:p>
    <w:tbl>
      <w:tblPr>
        <w:tblW w:w="9720" w:type="dxa"/>
        <w:tblBorders>
          <w:top w:val="none" w:sz="0" w:space="0" w:color="FFFFFF"/>
          <w:left w:val="single" w:sz="24" w:space="0" w:color="B08D5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851A0B" w14:paraId="3BD1C0E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shd w:val="clear" w:color="auto" w:fill="FBF3E6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ED99263" w14:textId="77777777" w:rsidR="00851A0B" w:rsidRDefault="00000000" w:rsidP="00442BE9">
            <w:pPr>
              <w:spacing w:line="264" w:lineRule="auto"/>
              <w:jc w:val="both"/>
            </w:pPr>
            <w:r>
              <w:rPr>
                <w:b/>
                <w:bCs/>
                <w:color w:val="0D2137"/>
              </w:rPr>
              <w:t xml:space="preserve">Escopo do CRM ainda a fechar (pendente).  </w:t>
            </w:r>
            <w:r>
              <w:t xml:space="preserve">A Frente 3 é o segundo ponto crítico do projeto (executada logo após a Frente 1). Seu escopo detalhado ainda precisa ser batido em conjunto: a TKC apresentará o RD </w:t>
            </w:r>
            <w:proofErr w:type="spellStart"/>
            <w:r>
              <w:t>Station</w:t>
            </w:r>
            <w:proofErr w:type="spellEnd"/>
            <w:r>
              <w:t xml:space="preserve"> em uso hoje para que, a partir dele, definamos exatamente quais funcionalidades do Bloco A entram na 1ª </w:t>
            </w:r>
            <w:r>
              <w:lastRenderedPageBreak/>
              <w:t>versão do CRM próprio. A Frente 3 tem prazo estimado no cronograma, e seu escopo final é fechado após esse alinhamento.</w:t>
            </w:r>
          </w:p>
        </w:tc>
      </w:tr>
    </w:tbl>
    <w:p w14:paraId="78E2F938" w14:textId="77777777" w:rsidR="00851A0B" w:rsidRDefault="00000000" w:rsidP="00442BE9">
      <w:pPr>
        <w:pStyle w:val="Ttulo1"/>
        <w:keepNext/>
        <w:pBdr>
          <w:bottom w:val="single" w:sz="6" w:space="6" w:color="B08D57"/>
        </w:pBdr>
        <w:spacing w:before="300" w:after="140"/>
        <w:jc w:val="both"/>
      </w:pPr>
      <w:proofErr w:type="gramStart"/>
      <w:r>
        <w:rPr>
          <w:rFonts w:ascii="Cambria" w:eastAsia="Cambria" w:hAnsi="Cambria" w:cs="Cambria"/>
          <w:b/>
          <w:bCs/>
          <w:color w:val="B08D57"/>
          <w:sz w:val="30"/>
          <w:szCs w:val="30"/>
        </w:rPr>
        <w:lastRenderedPageBreak/>
        <w:t xml:space="preserve">4  </w:t>
      </w:r>
      <w:r>
        <w:rPr>
          <w:rFonts w:ascii="Cambria" w:eastAsia="Cambria" w:hAnsi="Cambria" w:cs="Cambria"/>
          <w:b/>
          <w:bCs/>
          <w:color w:val="0D2137"/>
          <w:sz w:val="30"/>
          <w:szCs w:val="30"/>
        </w:rPr>
        <w:t>Fora</w:t>
      </w:r>
      <w:proofErr w:type="gramEnd"/>
      <w:r>
        <w:rPr>
          <w:rFonts w:ascii="Cambria" w:eastAsia="Cambria" w:hAnsi="Cambria" w:cs="Cambria"/>
          <w:b/>
          <w:bCs/>
          <w:color w:val="0D2137"/>
          <w:sz w:val="30"/>
          <w:szCs w:val="30"/>
        </w:rPr>
        <w:t xml:space="preserve"> de Escopo (nesta fase)</w:t>
      </w:r>
    </w:p>
    <w:p w14:paraId="367FD13B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t xml:space="preserve">Migração histórica de dados do RD </w:t>
      </w:r>
      <w:proofErr w:type="spellStart"/>
      <w:r>
        <w:t>Station</w:t>
      </w:r>
      <w:proofErr w:type="spellEnd"/>
      <w:r>
        <w:t xml:space="preserve"> (avaliada à parte após diagnóstico).</w:t>
      </w:r>
    </w:p>
    <w:p w14:paraId="608A8FE2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t>Integrações com sistemas externos não listados (contábil, ERP, gateways de pagamento) — avaliadas caso a caso.</w:t>
      </w:r>
    </w:p>
    <w:p w14:paraId="3EBECDEF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t xml:space="preserve">Produção de peças de marketing/campanhas (a proposta cobre </w:t>
      </w:r>
      <w:proofErr w:type="spellStart"/>
      <w:r>
        <w:t>onboarding</w:t>
      </w:r>
      <w:proofErr w:type="spellEnd"/>
      <w:r>
        <w:t xml:space="preserve"> e formação interna, não conteúdo de mídia).</w:t>
      </w:r>
    </w:p>
    <w:p w14:paraId="38EF14D4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t>Custos de licenças/hospedagem de terceiros e consumo de API de IA, que são repassados conforme a ferramenta e o volume de uso.</w:t>
      </w:r>
    </w:p>
    <w:p w14:paraId="46FEDC09" w14:textId="77777777" w:rsidR="00851A0B" w:rsidRDefault="00000000" w:rsidP="00442BE9">
      <w:pPr>
        <w:pStyle w:val="Ttulo1"/>
        <w:keepNext/>
        <w:pBdr>
          <w:bottom w:val="single" w:sz="6" w:space="6" w:color="B08D57"/>
        </w:pBdr>
        <w:spacing w:before="300" w:after="140"/>
        <w:jc w:val="both"/>
      </w:pPr>
      <w:proofErr w:type="gramStart"/>
      <w:r>
        <w:rPr>
          <w:rFonts w:ascii="Cambria" w:eastAsia="Cambria" w:hAnsi="Cambria" w:cs="Cambria"/>
          <w:b/>
          <w:bCs/>
          <w:color w:val="B08D57"/>
          <w:sz w:val="30"/>
          <w:szCs w:val="30"/>
        </w:rPr>
        <w:t xml:space="preserve">5  </w:t>
      </w:r>
      <w:r>
        <w:rPr>
          <w:rFonts w:ascii="Cambria" w:eastAsia="Cambria" w:hAnsi="Cambria" w:cs="Cambria"/>
          <w:b/>
          <w:bCs/>
          <w:color w:val="0D2137"/>
          <w:sz w:val="30"/>
          <w:szCs w:val="30"/>
        </w:rPr>
        <w:t>Premissas</w:t>
      </w:r>
      <w:proofErr w:type="gramEnd"/>
      <w:r>
        <w:rPr>
          <w:rFonts w:ascii="Cambria" w:eastAsia="Cambria" w:hAnsi="Cambria" w:cs="Cambria"/>
          <w:b/>
          <w:bCs/>
          <w:color w:val="0D2137"/>
          <w:sz w:val="30"/>
          <w:szCs w:val="30"/>
        </w:rPr>
        <w:t xml:space="preserve"> e Fatores de Prazo</w:t>
      </w:r>
    </w:p>
    <w:p w14:paraId="3A4C2900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rPr>
          <w:b/>
          <w:bCs/>
        </w:rPr>
        <w:t xml:space="preserve">Disponibilidade das fontes. </w:t>
      </w:r>
      <w:r>
        <w:t>O prazo da Frente 1 depende diretamente da agenda de Paulo, Carlos, Ricardo, Karla e Yuri para as sessões de extração (via Google Meet, canal oficial da TKC). Este é o principal fator de risco de cronograma.</w:t>
      </w:r>
    </w:p>
    <w:p w14:paraId="16CDB5C7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rPr>
          <w:b/>
          <w:bCs/>
        </w:rPr>
        <w:t xml:space="preserve">Maturidade dos protocolos. </w:t>
      </w:r>
      <w:r>
        <w:t>O volume final da Frente 1 é confirmado na Fase 0: se os protocolos já existem documentados, o esforço é de consolidação (menor); se existem apenas como conhecimento tácito, o esforço é de extração do zero (maior). O escopo desta proposta assume o cenário de extração.</w:t>
      </w:r>
    </w:p>
    <w:p w14:paraId="6CC33F6C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rPr>
          <w:b/>
          <w:bCs/>
        </w:rPr>
        <w:t xml:space="preserve">Definição da arquitetura da Universidade. </w:t>
      </w:r>
      <w:r>
        <w:t>Decisão entre LMS de mercado + módulos sob medida, ou plataforma 100% própria, fechada na Fase 0.</w:t>
      </w:r>
    </w:p>
    <w:p w14:paraId="196511EA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rPr>
          <w:b/>
          <w:bCs/>
        </w:rPr>
        <w:t xml:space="preserve">Custos recorrentes de terceiros </w:t>
      </w:r>
      <w:r>
        <w:t>(hospedagem, API de IA) por conta da TKC, repassados conforme uso.</w:t>
      </w:r>
    </w:p>
    <w:p w14:paraId="556D0543" w14:textId="77777777" w:rsidR="00851A0B" w:rsidRDefault="00000000" w:rsidP="00442BE9">
      <w:pPr>
        <w:pStyle w:val="Ttulo1"/>
        <w:keepNext/>
        <w:pBdr>
          <w:bottom w:val="single" w:sz="6" w:space="6" w:color="B08D57"/>
        </w:pBdr>
        <w:spacing w:before="300" w:after="140"/>
        <w:jc w:val="both"/>
      </w:pPr>
      <w:proofErr w:type="gramStart"/>
      <w:r>
        <w:rPr>
          <w:rFonts w:ascii="Cambria" w:eastAsia="Cambria" w:hAnsi="Cambria" w:cs="Cambria"/>
          <w:b/>
          <w:bCs/>
          <w:color w:val="B08D57"/>
          <w:sz w:val="30"/>
          <w:szCs w:val="30"/>
        </w:rPr>
        <w:t xml:space="preserve">6  </w:t>
      </w:r>
      <w:r>
        <w:rPr>
          <w:rFonts w:ascii="Cambria" w:eastAsia="Cambria" w:hAnsi="Cambria" w:cs="Cambria"/>
          <w:b/>
          <w:bCs/>
          <w:color w:val="0D2137"/>
          <w:sz w:val="30"/>
          <w:szCs w:val="30"/>
        </w:rPr>
        <w:t>Cronograma</w:t>
      </w:r>
      <w:proofErr w:type="gramEnd"/>
      <w:r>
        <w:rPr>
          <w:rFonts w:ascii="Cambria" w:eastAsia="Cambria" w:hAnsi="Cambria" w:cs="Cambria"/>
          <w:b/>
          <w:bCs/>
          <w:color w:val="0D2137"/>
          <w:sz w:val="30"/>
          <w:szCs w:val="30"/>
        </w:rPr>
        <w:t xml:space="preserve"> Macro</w:t>
      </w:r>
    </w:p>
    <w:p w14:paraId="526FD193" w14:textId="77777777" w:rsidR="00851A0B" w:rsidRDefault="00000000" w:rsidP="00442BE9">
      <w:pPr>
        <w:spacing w:after="80" w:line="276" w:lineRule="auto"/>
        <w:jc w:val="both"/>
      </w:pPr>
      <w:r>
        <w:rPr>
          <w:b/>
          <w:bCs/>
        </w:rPr>
        <w:t xml:space="preserve">Ordem de execução: </w:t>
      </w:r>
      <w:r>
        <w:t>Fase 0 → Frente 1 → Frente 3 → Frente 2.</w:t>
      </w:r>
    </w:p>
    <w:tbl>
      <w:tblPr>
        <w:tblW w:w="9720" w:type="dxa"/>
        <w:tblBorders>
          <w:top w:val="single" w:sz="2" w:space="0" w:color="D9DEE6"/>
          <w:left w:val="none" w:sz="0" w:space="0" w:color="FFFFFF"/>
          <w:bottom w:val="single" w:sz="2" w:space="0" w:color="D9DEE6"/>
          <w:right w:val="none" w:sz="0" w:space="0" w:color="FFFFFF"/>
          <w:insideH w:val="single" w:sz="2" w:space="0" w:color="E5E9E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5620"/>
      </w:tblGrid>
      <w:tr w:rsidR="00851A0B" w14:paraId="3C4B94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0D213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6C7E65F" w14:textId="77777777" w:rsidR="00851A0B" w:rsidRDefault="00000000" w:rsidP="00442BE9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Ordem</w:t>
            </w:r>
          </w:p>
        </w:tc>
        <w:tc>
          <w:tcPr>
            <w:tcW w:w="3200" w:type="dxa"/>
            <w:shd w:val="clear" w:color="auto" w:fill="0D213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DDD888D" w14:textId="77777777" w:rsidR="00851A0B" w:rsidRDefault="00000000" w:rsidP="00442BE9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5620" w:type="dxa"/>
            <w:shd w:val="clear" w:color="auto" w:fill="0D213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CC725A" w14:textId="77777777" w:rsidR="00851A0B" w:rsidRDefault="00000000" w:rsidP="00442BE9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Duração estimada</w:t>
            </w:r>
          </w:p>
        </w:tc>
      </w:tr>
      <w:tr w:rsidR="00851A0B" w14:paraId="27B0BB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7D8622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C8F9446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Fase 0 — Diagnóstico e alinhamento</w:t>
            </w:r>
          </w:p>
        </w:tc>
        <w:tc>
          <w:tcPr>
            <w:tcW w:w="562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383E09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2 a 3 semanas</w:t>
            </w:r>
          </w:p>
        </w:tc>
      </w:tr>
      <w:tr w:rsidR="00851A0B" w14:paraId="6233FB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221B430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20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20A73ED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Frente 1 — Conhecimento</w:t>
            </w:r>
          </w:p>
        </w:tc>
        <w:tc>
          <w:tcPr>
            <w:tcW w:w="562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60E0073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2 a 3 semanas</w:t>
            </w:r>
          </w:p>
        </w:tc>
      </w:tr>
      <w:tr w:rsidR="00851A0B" w14:paraId="2C2DFF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514C8E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F2E18A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Frente 3 — CRM</w:t>
            </w:r>
          </w:p>
        </w:tc>
        <w:tc>
          <w:tcPr>
            <w:tcW w:w="562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CC35203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a definir na Fase 0 (estimativa preliminar: 5 a 8 semanas)</w:t>
            </w:r>
          </w:p>
        </w:tc>
      </w:tr>
      <w:tr w:rsidR="00851A0B" w14:paraId="5B2CDC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B76238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20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54009A3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Frente 2 — Universidade Corporativa</w:t>
            </w:r>
          </w:p>
        </w:tc>
        <w:tc>
          <w:tcPr>
            <w:tcW w:w="5620" w:type="dxa"/>
            <w:shd w:val="clear" w:color="auto" w:fill="F3F5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BE7F77" w14:textId="77777777" w:rsidR="00851A0B" w:rsidRDefault="00000000" w:rsidP="00442BE9">
            <w:pPr>
              <w:spacing w:line="252" w:lineRule="auto"/>
              <w:jc w:val="both"/>
            </w:pPr>
            <w:r>
              <w:rPr>
                <w:sz w:val="19"/>
                <w:szCs w:val="19"/>
              </w:rPr>
              <w:t>2 a 3 semanas de levantamento + 4 semanas de desenvolvimento do portal (sujeito à disponibilidade)</w:t>
            </w:r>
          </w:p>
        </w:tc>
      </w:tr>
    </w:tbl>
    <w:p w14:paraId="63135C3C" w14:textId="77777777" w:rsidR="00851A0B" w:rsidRDefault="00851A0B" w:rsidP="00442BE9">
      <w:pPr>
        <w:spacing w:after="80"/>
        <w:jc w:val="both"/>
      </w:pPr>
    </w:p>
    <w:p w14:paraId="78C645CE" w14:textId="77777777" w:rsidR="00851A0B" w:rsidRDefault="00000000" w:rsidP="00442BE9">
      <w:pPr>
        <w:spacing w:after="120" w:line="276" w:lineRule="auto"/>
        <w:jc w:val="both"/>
      </w:pPr>
      <w:r>
        <w:rPr>
          <w:i/>
          <w:iCs/>
          <w:color w:val="6B7280"/>
          <w:sz w:val="19"/>
          <w:szCs w:val="19"/>
        </w:rPr>
        <w:t>Os prazos das Frentes 1 e 2 dependem da disponibilidade de agenda das fontes de conhecimento; a duração da Frente 3 é confirmada no dimensionamento da Fase 0.</w:t>
      </w:r>
    </w:p>
    <w:p w14:paraId="6970F222" w14:textId="77777777" w:rsidR="00851A0B" w:rsidRDefault="00000000" w:rsidP="00442BE9">
      <w:pPr>
        <w:pStyle w:val="Ttulo1"/>
        <w:keepNext/>
        <w:pBdr>
          <w:bottom w:val="single" w:sz="6" w:space="6" w:color="B08D57"/>
        </w:pBdr>
        <w:spacing w:before="300" w:after="140"/>
        <w:jc w:val="both"/>
      </w:pPr>
      <w:proofErr w:type="gramStart"/>
      <w:r>
        <w:rPr>
          <w:rFonts w:ascii="Cambria" w:eastAsia="Cambria" w:hAnsi="Cambria" w:cs="Cambria"/>
          <w:b/>
          <w:bCs/>
          <w:color w:val="B08D57"/>
          <w:sz w:val="30"/>
          <w:szCs w:val="30"/>
        </w:rPr>
        <w:t xml:space="preserve">7  </w:t>
      </w:r>
      <w:r>
        <w:rPr>
          <w:rFonts w:ascii="Cambria" w:eastAsia="Cambria" w:hAnsi="Cambria" w:cs="Cambria"/>
          <w:b/>
          <w:bCs/>
          <w:color w:val="0D2137"/>
          <w:sz w:val="30"/>
          <w:szCs w:val="30"/>
        </w:rPr>
        <w:t>Investimento</w:t>
      </w:r>
      <w:proofErr w:type="gramEnd"/>
    </w:p>
    <w:p w14:paraId="2D05FDC3" w14:textId="77777777" w:rsidR="00851A0B" w:rsidRDefault="00000000" w:rsidP="00442BE9">
      <w:pPr>
        <w:spacing w:after="120" w:line="276" w:lineRule="auto"/>
        <w:jc w:val="both"/>
      </w:pPr>
      <w:r>
        <w:t>Os valores de cada frente serão apresentados em documento de investimento à parte. Esta seção descreve a composição de cada frente (o que compõe o escopo a ser precificado).</w:t>
      </w:r>
    </w:p>
    <w:p w14:paraId="59E4DB89" w14:textId="77777777" w:rsidR="00851A0B" w:rsidRDefault="00000000" w:rsidP="00442BE9">
      <w:pPr>
        <w:pStyle w:val="Ttulo2"/>
        <w:keepNext/>
        <w:spacing w:before="220" w:after="90"/>
        <w:jc w:val="both"/>
      </w:pPr>
      <w:r>
        <w:rPr>
          <w:rFonts w:ascii="Cambria" w:eastAsia="Cambria" w:hAnsi="Cambria" w:cs="Cambria"/>
          <w:b/>
          <w:bCs/>
          <w:color w:val="2E5C9E"/>
          <w:sz w:val="24"/>
          <w:szCs w:val="24"/>
        </w:rPr>
        <w:t>Frente 1 — Institucionalização do Conhecimento (Conteúdo)</w:t>
      </w:r>
    </w:p>
    <w:p w14:paraId="3BC6EB5D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t>Fase 0 — Diagnóstico e mapeamento (validação da maturidade dos protocolos)</w:t>
      </w:r>
    </w:p>
    <w:p w14:paraId="59402B65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lastRenderedPageBreak/>
        <w:t xml:space="preserve">•  </w:t>
      </w:r>
      <w:r>
        <w:t>TKC Capital — extração e documentação dos protocolos</w:t>
      </w:r>
    </w:p>
    <w:p w14:paraId="0DCDAF04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t xml:space="preserve">TKC </w:t>
      </w:r>
      <w:proofErr w:type="spellStart"/>
      <w:r>
        <w:t>Tax</w:t>
      </w:r>
      <w:proofErr w:type="spellEnd"/>
      <w:r>
        <w:t xml:space="preserve"> — extração e documentação dos protocolos</w:t>
      </w:r>
    </w:p>
    <w:p w14:paraId="26BFE075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t>TKC Imóveis — extração e documentação dos protocolos</w:t>
      </w:r>
    </w:p>
    <w:p w14:paraId="2A129E3B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proofErr w:type="spellStart"/>
      <w:r>
        <w:t>Playbook</w:t>
      </w:r>
      <w:proofErr w:type="spellEnd"/>
      <w:r>
        <w:t xml:space="preserve"> comercial consolidado + trilha de </w:t>
      </w:r>
      <w:proofErr w:type="spellStart"/>
      <w:r>
        <w:t>onboarding</w:t>
      </w:r>
      <w:proofErr w:type="spellEnd"/>
    </w:p>
    <w:p w14:paraId="274CF9FA" w14:textId="77777777" w:rsidR="00851A0B" w:rsidRDefault="00000000" w:rsidP="00442BE9">
      <w:pPr>
        <w:pStyle w:val="Ttulo2"/>
        <w:keepNext/>
        <w:spacing w:before="220" w:after="90"/>
        <w:jc w:val="both"/>
      </w:pPr>
      <w:r>
        <w:rPr>
          <w:rFonts w:ascii="Cambria" w:eastAsia="Cambria" w:hAnsi="Cambria" w:cs="Cambria"/>
          <w:b/>
          <w:bCs/>
          <w:color w:val="2E5C9E"/>
          <w:sz w:val="24"/>
          <w:szCs w:val="24"/>
        </w:rPr>
        <w:t>Frente 2 — Universidade Corporativa Viva</w:t>
      </w:r>
    </w:p>
    <w:p w14:paraId="4F1EBCAB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t>Implantação da plataforma de ensino (trilhas, publicação de conteúdo, identidade visual, avaliações e certificados) + treinamento de administradores</w:t>
      </w:r>
    </w:p>
    <w:p w14:paraId="6938C595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t>Módulo PAI (Plano de Aprimoramento Individual): acompanhamento por colaborador, KPIs, avaliações trimestrais, reconhecimento/certificação</w:t>
      </w:r>
    </w:p>
    <w:p w14:paraId="4200E0B0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t>Módulo de Conteúdo Vivo (edição assistida por IA + fluxo de aprovação/reprovação + versionamento auditado)</w:t>
      </w:r>
    </w:p>
    <w:p w14:paraId="36B88792" w14:textId="77777777" w:rsidR="00851A0B" w:rsidRDefault="00851A0B" w:rsidP="00442BE9">
      <w:pPr>
        <w:spacing w:after="40"/>
        <w:jc w:val="both"/>
      </w:pPr>
    </w:p>
    <w:tbl>
      <w:tblPr>
        <w:tblW w:w="9720" w:type="dxa"/>
        <w:tblBorders>
          <w:top w:val="none" w:sz="0" w:space="0" w:color="FFFFFF"/>
          <w:left w:val="single" w:sz="24" w:space="0" w:color="2E5C9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851A0B" w14:paraId="07EFB1B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shd w:val="clear" w:color="auto" w:fill="EEF3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035B864" w14:textId="77777777" w:rsidR="00851A0B" w:rsidRDefault="00000000" w:rsidP="00442BE9">
            <w:pPr>
              <w:spacing w:line="264" w:lineRule="auto"/>
              <w:jc w:val="both"/>
            </w:pPr>
            <w:r>
              <w:rPr>
                <w:b/>
                <w:bCs/>
                <w:color w:val="0D2137"/>
              </w:rPr>
              <w:t>Dois cenários de arquitetura (a definir)</w:t>
            </w:r>
            <w:proofErr w:type="gramStart"/>
            <w:r>
              <w:rPr>
                <w:b/>
                <w:bCs/>
                <w:color w:val="0D2137"/>
              </w:rPr>
              <w:t xml:space="preserve">:  </w:t>
            </w:r>
            <w:r>
              <w:t>(</w:t>
            </w:r>
            <w:proofErr w:type="gramEnd"/>
            <w:r>
              <w:t>A) LMS de mercado (ex.: Moodle) para trilhas/certificação + PAI e Conteúdo Vivo desenvolvidos sob medida e integrados; (B) plataforma de ensino 100% própria, coerente com a identidade premium da marca e totalmente integrável ao CRM.</w:t>
            </w:r>
          </w:p>
        </w:tc>
      </w:tr>
    </w:tbl>
    <w:p w14:paraId="11809338" w14:textId="77777777" w:rsidR="00851A0B" w:rsidRDefault="00000000" w:rsidP="00442BE9">
      <w:pPr>
        <w:pStyle w:val="Ttulo2"/>
        <w:keepNext/>
        <w:spacing w:before="220" w:after="90"/>
        <w:jc w:val="both"/>
      </w:pPr>
      <w:r>
        <w:rPr>
          <w:rFonts w:ascii="Cambria" w:eastAsia="Cambria" w:hAnsi="Cambria" w:cs="Cambria"/>
          <w:b/>
          <w:bCs/>
          <w:color w:val="2E5C9E"/>
          <w:sz w:val="24"/>
          <w:szCs w:val="24"/>
        </w:rPr>
        <w:t>Frente 3 — CRM Proprietário Segmentado</w:t>
      </w:r>
    </w:p>
    <w:tbl>
      <w:tblPr>
        <w:tblW w:w="9720" w:type="dxa"/>
        <w:tblBorders>
          <w:top w:val="none" w:sz="0" w:space="0" w:color="FFFFFF"/>
          <w:left w:val="single" w:sz="24" w:space="0" w:color="B08D5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851A0B" w14:paraId="6A60F3F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shd w:val="clear" w:color="auto" w:fill="FBF3E6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C9C7C80" w14:textId="77777777" w:rsidR="00851A0B" w:rsidRDefault="00000000" w:rsidP="00442BE9">
            <w:pPr>
              <w:spacing w:line="264" w:lineRule="auto"/>
              <w:jc w:val="both"/>
            </w:pPr>
            <w:r>
              <w:rPr>
                <w:b/>
                <w:bCs/>
                <w:color w:val="0D2137"/>
              </w:rPr>
              <w:t xml:space="preserve">Escopo a fechar após apresentação do RD </w:t>
            </w:r>
            <w:proofErr w:type="spellStart"/>
            <w:r>
              <w:rPr>
                <w:b/>
                <w:bCs/>
                <w:color w:val="0D2137"/>
              </w:rPr>
              <w:t>Station</w:t>
            </w:r>
            <w:proofErr w:type="spellEnd"/>
            <w:r>
              <w:rPr>
                <w:b/>
                <w:bCs/>
                <w:color w:val="0D2137"/>
              </w:rPr>
              <w:t xml:space="preserve">.  </w:t>
            </w:r>
            <w:r>
              <w:t xml:space="preserve">A Frente 3 é o segundo ponto crítico do projeto e tem prazo estimado no cronograma (item 6). Seu escopo detalhado será definido depois que a TKC apresentar o RD </w:t>
            </w:r>
            <w:proofErr w:type="spellStart"/>
            <w:r>
              <w:t>Station</w:t>
            </w:r>
            <w:proofErr w:type="spellEnd"/>
            <w:r>
              <w:t xml:space="preserve"> em uso e alinharmos quais funcionalidades do Bloco A entram na 1ª versão. O escopo funcional (Bloco A — núcleo equivalente ao RD </w:t>
            </w:r>
            <w:proofErr w:type="spellStart"/>
            <w:r>
              <w:t>Station</w:t>
            </w:r>
            <w:proofErr w:type="spellEnd"/>
            <w:r>
              <w:t>; Bloco B — 8 requisitos exclusivos da TKC) está descrito no item 3.</w:t>
            </w:r>
          </w:p>
        </w:tc>
      </w:tr>
    </w:tbl>
    <w:p w14:paraId="247C5726" w14:textId="77777777" w:rsidR="00851A0B" w:rsidRDefault="00851A0B" w:rsidP="00442BE9">
      <w:pPr>
        <w:spacing w:after="60"/>
        <w:jc w:val="both"/>
      </w:pPr>
    </w:p>
    <w:p w14:paraId="51280F6A" w14:textId="77777777" w:rsidR="00851A0B" w:rsidRDefault="00000000" w:rsidP="00442BE9">
      <w:pPr>
        <w:spacing w:after="120" w:line="276" w:lineRule="auto"/>
        <w:jc w:val="both"/>
      </w:pPr>
      <w:r>
        <w:rPr>
          <w:b/>
          <w:bCs/>
        </w:rPr>
        <w:t xml:space="preserve">Custos recorrentes </w:t>
      </w:r>
      <w:r>
        <w:t>(sustentação, hospedagem e consumo de API de IA) são de responsabilidade da TKC e definidos junto com o escopo de cada frente.</w:t>
      </w:r>
    </w:p>
    <w:p w14:paraId="08E441B5" w14:textId="77777777" w:rsidR="00851A0B" w:rsidRDefault="00000000" w:rsidP="00442BE9">
      <w:pPr>
        <w:pStyle w:val="Ttulo1"/>
        <w:keepNext/>
        <w:pBdr>
          <w:bottom w:val="single" w:sz="6" w:space="6" w:color="B08D57"/>
        </w:pBdr>
        <w:spacing w:before="300" w:after="140"/>
        <w:jc w:val="both"/>
      </w:pPr>
      <w:proofErr w:type="gramStart"/>
      <w:r>
        <w:rPr>
          <w:rFonts w:ascii="Cambria" w:eastAsia="Cambria" w:hAnsi="Cambria" w:cs="Cambria"/>
          <w:b/>
          <w:bCs/>
          <w:color w:val="B08D57"/>
          <w:sz w:val="30"/>
          <w:szCs w:val="30"/>
        </w:rPr>
        <w:t xml:space="preserve">8  </w:t>
      </w:r>
      <w:r>
        <w:rPr>
          <w:rFonts w:ascii="Cambria" w:eastAsia="Cambria" w:hAnsi="Cambria" w:cs="Cambria"/>
          <w:b/>
          <w:bCs/>
          <w:color w:val="0D2137"/>
          <w:sz w:val="30"/>
          <w:szCs w:val="30"/>
        </w:rPr>
        <w:t>Condições</w:t>
      </w:r>
      <w:proofErr w:type="gramEnd"/>
      <w:r>
        <w:rPr>
          <w:rFonts w:ascii="Cambria" w:eastAsia="Cambria" w:hAnsi="Cambria" w:cs="Cambria"/>
          <w:b/>
          <w:bCs/>
          <w:color w:val="0D2137"/>
          <w:sz w:val="30"/>
          <w:szCs w:val="30"/>
        </w:rPr>
        <w:t xml:space="preserve"> Comerciais</w:t>
      </w:r>
    </w:p>
    <w:p w14:paraId="37B97B52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rPr>
          <w:b/>
          <w:bCs/>
        </w:rPr>
        <w:t xml:space="preserve">Investimento: </w:t>
      </w:r>
      <w:r>
        <w:t>os valores de cada frente serão apresentados em documento à parte.</w:t>
      </w:r>
    </w:p>
    <w:p w14:paraId="61BCC5F7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rPr>
          <w:b/>
          <w:bCs/>
        </w:rPr>
        <w:t xml:space="preserve">Forma de pagamento: </w:t>
      </w:r>
      <w:r>
        <w:t>70% do valor pagos proporcionalmente ao final de cada fase entregue; 30% do valor investidos em produtos da própria TKC, após a conclusão de todas as entregas. Faturamento no modelo TKC (nota fiscal emitida no dia 1º, pagamento no dia 15), quando aplicável ao regime de prestação.</w:t>
      </w:r>
    </w:p>
    <w:p w14:paraId="22037205" w14:textId="77777777" w:rsidR="00851A0B" w:rsidRDefault="00000000" w:rsidP="00442BE9">
      <w:pPr>
        <w:spacing w:after="90" w:line="264" w:lineRule="auto"/>
        <w:ind w:left="360" w:hanging="220"/>
        <w:jc w:val="both"/>
      </w:pPr>
      <w:r>
        <w:rPr>
          <w:b/>
          <w:bCs/>
          <w:color w:val="2E5C9E"/>
        </w:rPr>
        <w:t xml:space="preserve">•  </w:t>
      </w:r>
      <w:r>
        <w:rPr>
          <w:b/>
          <w:bCs/>
        </w:rPr>
        <w:t xml:space="preserve">Contratação: </w:t>
      </w:r>
      <w:r>
        <w:t>projeto fechado — as três frentes são contratadas como um todo, não separadamente.</w:t>
      </w:r>
    </w:p>
    <w:p w14:paraId="7939E2C2" w14:textId="77777777" w:rsidR="00851A0B" w:rsidRDefault="00000000" w:rsidP="00442BE9">
      <w:pPr>
        <w:pStyle w:val="Ttulo1"/>
        <w:keepNext/>
        <w:pBdr>
          <w:bottom w:val="single" w:sz="6" w:space="6" w:color="B08D57"/>
        </w:pBdr>
        <w:spacing w:before="300" w:after="140"/>
        <w:jc w:val="both"/>
      </w:pPr>
      <w:proofErr w:type="gramStart"/>
      <w:r>
        <w:rPr>
          <w:rFonts w:ascii="Cambria" w:eastAsia="Cambria" w:hAnsi="Cambria" w:cs="Cambria"/>
          <w:b/>
          <w:bCs/>
          <w:color w:val="B08D57"/>
          <w:sz w:val="30"/>
          <w:szCs w:val="30"/>
        </w:rPr>
        <w:t xml:space="preserve">9  </w:t>
      </w:r>
      <w:r>
        <w:rPr>
          <w:rFonts w:ascii="Cambria" w:eastAsia="Cambria" w:hAnsi="Cambria" w:cs="Cambria"/>
          <w:b/>
          <w:bCs/>
          <w:color w:val="0D2137"/>
          <w:sz w:val="30"/>
          <w:szCs w:val="30"/>
        </w:rPr>
        <w:t>Próximos</w:t>
      </w:r>
      <w:proofErr w:type="gramEnd"/>
      <w:r>
        <w:rPr>
          <w:rFonts w:ascii="Cambria" w:eastAsia="Cambria" w:hAnsi="Cambria" w:cs="Cambria"/>
          <w:b/>
          <w:bCs/>
          <w:color w:val="0D2137"/>
          <w:sz w:val="30"/>
          <w:szCs w:val="30"/>
        </w:rPr>
        <w:t xml:space="preserve"> Passos</w:t>
      </w:r>
    </w:p>
    <w:p w14:paraId="3CBD2E7A" w14:textId="77777777" w:rsidR="00851A0B" w:rsidRDefault="00000000" w:rsidP="00442BE9">
      <w:pPr>
        <w:spacing w:after="90" w:line="264" w:lineRule="auto"/>
        <w:ind w:left="360" w:hanging="260"/>
        <w:jc w:val="both"/>
      </w:pPr>
      <w:r>
        <w:rPr>
          <w:rFonts w:ascii="Cambria" w:eastAsia="Cambria" w:hAnsi="Cambria" w:cs="Cambria"/>
          <w:b/>
          <w:bCs/>
          <w:color w:val="B08D57"/>
        </w:rPr>
        <w:t xml:space="preserve">1.  </w:t>
      </w:r>
      <w:r>
        <w:t>Leitura desta proposta pela TKC.</w:t>
      </w:r>
    </w:p>
    <w:p w14:paraId="40ACDDDB" w14:textId="77777777" w:rsidR="00851A0B" w:rsidRDefault="00000000" w:rsidP="00442BE9">
      <w:pPr>
        <w:spacing w:after="90" w:line="264" w:lineRule="auto"/>
        <w:ind w:left="360" w:hanging="260"/>
        <w:jc w:val="both"/>
      </w:pPr>
      <w:r>
        <w:rPr>
          <w:rFonts w:ascii="Cambria" w:eastAsia="Cambria" w:hAnsi="Cambria" w:cs="Cambria"/>
          <w:b/>
          <w:bCs/>
          <w:color w:val="B08D57"/>
        </w:rPr>
        <w:t xml:space="preserve">2.  </w:t>
      </w:r>
      <w:r>
        <w:t xml:space="preserve">Reunião de refinamento do escopo, na qual a TKC também apresenta o RD </w:t>
      </w:r>
      <w:proofErr w:type="spellStart"/>
      <w:r>
        <w:t>Station</w:t>
      </w:r>
      <w:proofErr w:type="spellEnd"/>
      <w:r>
        <w:t xml:space="preserve"> em uso hoje — para definirmos o que entra no escopo do CRM.</w:t>
      </w:r>
    </w:p>
    <w:p w14:paraId="42C7E4BD" w14:textId="77777777" w:rsidR="00851A0B" w:rsidRDefault="00000000" w:rsidP="00442BE9">
      <w:pPr>
        <w:spacing w:after="90" w:line="264" w:lineRule="auto"/>
        <w:ind w:left="360" w:hanging="260"/>
        <w:jc w:val="both"/>
      </w:pPr>
      <w:r>
        <w:rPr>
          <w:rFonts w:ascii="Cambria" w:eastAsia="Cambria" w:hAnsi="Cambria" w:cs="Cambria"/>
          <w:b/>
          <w:bCs/>
          <w:color w:val="B08D57"/>
        </w:rPr>
        <w:t xml:space="preserve">3.  </w:t>
      </w:r>
      <w:r>
        <w:t>Ajuste final do escopo, prazos e investimento de cada frente a partir dessa reunião.</w:t>
      </w:r>
    </w:p>
    <w:p w14:paraId="099EF9C2" w14:textId="77777777" w:rsidR="00851A0B" w:rsidRDefault="00000000" w:rsidP="00442BE9">
      <w:pPr>
        <w:spacing w:after="90" w:line="264" w:lineRule="auto"/>
        <w:ind w:left="360" w:hanging="260"/>
        <w:jc w:val="both"/>
      </w:pPr>
      <w:r>
        <w:rPr>
          <w:rFonts w:ascii="Cambria" w:eastAsia="Cambria" w:hAnsi="Cambria" w:cs="Cambria"/>
          <w:b/>
          <w:bCs/>
          <w:color w:val="B08D57"/>
        </w:rPr>
        <w:t xml:space="preserve">4.  </w:t>
      </w:r>
      <w:r>
        <w:t>Aprovação para início da Fase 0 — Diagnóstico.</w:t>
      </w:r>
    </w:p>
    <w:p w14:paraId="32E04BD0" w14:textId="77777777" w:rsidR="00851A0B" w:rsidRDefault="00851A0B">
      <w:pPr>
        <w:spacing w:after="200"/>
      </w:pPr>
    </w:p>
    <w:p w14:paraId="61C93736" w14:textId="77777777" w:rsidR="00851A0B" w:rsidRDefault="00000000">
      <w:pPr>
        <w:pBdr>
          <w:top w:val="single" w:sz="6" w:space="6" w:color="B08D57"/>
        </w:pBdr>
        <w:spacing w:before="60"/>
      </w:pPr>
      <w:r>
        <w:rPr>
          <w:i/>
          <w:iCs/>
          <w:color w:val="6B7280"/>
          <w:sz w:val="17"/>
          <w:szCs w:val="17"/>
        </w:rPr>
        <w:t>Documento confidencial · Uso restrito ao ecossistema TKC e ao grupo emitente (OTEC · Equipamentos PSI).</w:t>
      </w:r>
    </w:p>
    <w:sectPr w:rsidR="00851A0B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AF44F" w14:textId="77777777" w:rsidR="000C753A" w:rsidRDefault="000C753A">
      <w:r>
        <w:separator/>
      </w:r>
    </w:p>
  </w:endnote>
  <w:endnote w:type="continuationSeparator" w:id="0">
    <w:p w14:paraId="22FDD130" w14:textId="77777777" w:rsidR="000C753A" w:rsidRDefault="000C7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39CFC" w14:textId="77777777" w:rsidR="00851A0B" w:rsidRDefault="00000000">
    <w:pPr>
      <w:pBdr>
        <w:top w:val="single" w:sz="4" w:space="6" w:color="D9DEE6"/>
      </w:pBdr>
      <w:jc w:val="right"/>
    </w:pPr>
    <w:r>
      <w:rPr>
        <w:color w:val="6B7280"/>
        <w:sz w:val="15"/>
        <w:szCs w:val="15"/>
      </w:rPr>
      <w:t>Proposta Comercial · Ecossistema TKC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44BDC" w14:textId="77777777" w:rsidR="000C753A" w:rsidRDefault="000C753A">
      <w:r>
        <w:separator/>
      </w:r>
    </w:p>
  </w:footnote>
  <w:footnote w:type="continuationSeparator" w:id="0">
    <w:p w14:paraId="36AE7B1A" w14:textId="77777777" w:rsidR="000C753A" w:rsidRDefault="000C75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D7C"/>
    <w:multiLevelType w:val="hybridMultilevel"/>
    <w:tmpl w:val="D2129802"/>
    <w:lvl w:ilvl="0" w:tplc="141261A6">
      <w:start w:val="1"/>
      <w:numFmt w:val="bullet"/>
      <w:lvlText w:val="●"/>
      <w:lvlJc w:val="left"/>
      <w:pPr>
        <w:ind w:left="720" w:hanging="360"/>
      </w:pPr>
    </w:lvl>
    <w:lvl w:ilvl="1" w:tplc="BCF45E54">
      <w:start w:val="1"/>
      <w:numFmt w:val="bullet"/>
      <w:lvlText w:val="○"/>
      <w:lvlJc w:val="left"/>
      <w:pPr>
        <w:ind w:left="1440" w:hanging="360"/>
      </w:pPr>
    </w:lvl>
    <w:lvl w:ilvl="2" w:tplc="165ABE8C">
      <w:start w:val="1"/>
      <w:numFmt w:val="bullet"/>
      <w:lvlText w:val="■"/>
      <w:lvlJc w:val="left"/>
      <w:pPr>
        <w:ind w:left="2160" w:hanging="360"/>
      </w:pPr>
    </w:lvl>
    <w:lvl w:ilvl="3" w:tplc="8B6AEAF0">
      <w:start w:val="1"/>
      <w:numFmt w:val="bullet"/>
      <w:lvlText w:val="●"/>
      <w:lvlJc w:val="left"/>
      <w:pPr>
        <w:ind w:left="2880" w:hanging="360"/>
      </w:pPr>
    </w:lvl>
    <w:lvl w:ilvl="4" w:tplc="7A629DEC">
      <w:start w:val="1"/>
      <w:numFmt w:val="bullet"/>
      <w:lvlText w:val="○"/>
      <w:lvlJc w:val="left"/>
      <w:pPr>
        <w:ind w:left="3600" w:hanging="360"/>
      </w:pPr>
    </w:lvl>
    <w:lvl w:ilvl="5" w:tplc="ED2084E4">
      <w:start w:val="1"/>
      <w:numFmt w:val="bullet"/>
      <w:lvlText w:val="■"/>
      <w:lvlJc w:val="left"/>
      <w:pPr>
        <w:ind w:left="4320" w:hanging="360"/>
      </w:pPr>
    </w:lvl>
    <w:lvl w:ilvl="6" w:tplc="B854F736">
      <w:start w:val="1"/>
      <w:numFmt w:val="bullet"/>
      <w:lvlText w:val="●"/>
      <w:lvlJc w:val="left"/>
      <w:pPr>
        <w:ind w:left="5040" w:hanging="360"/>
      </w:pPr>
    </w:lvl>
    <w:lvl w:ilvl="7" w:tplc="888E29EE">
      <w:start w:val="1"/>
      <w:numFmt w:val="bullet"/>
      <w:lvlText w:val="●"/>
      <w:lvlJc w:val="left"/>
      <w:pPr>
        <w:ind w:left="5760" w:hanging="360"/>
      </w:pPr>
    </w:lvl>
    <w:lvl w:ilvl="8" w:tplc="1B3ABF1E">
      <w:start w:val="1"/>
      <w:numFmt w:val="bullet"/>
      <w:lvlText w:val="●"/>
      <w:lvlJc w:val="left"/>
      <w:pPr>
        <w:ind w:left="6480" w:hanging="360"/>
      </w:pPr>
    </w:lvl>
  </w:abstractNum>
  <w:num w:numId="1" w16cid:durableId="20129028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A0B"/>
    <w:rsid w:val="000C753A"/>
    <w:rsid w:val="004404E1"/>
    <w:rsid w:val="00442BE9"/>
    <w:rsid w:val="0085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4E57C"/>
  <w15:docId w15:val="{96855587-2489-4603-B48C-09B1ED194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A37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2387</Words>
  <Characters>12891</Characters>
  <Application>Microsoft Office Word</Application>
  <DocSecurity>0</DocSecurity>
  <Lines>107</Lines>
  <Paragraphs>30</Paragraphs>
  <ScaleCrop>false</ScaleCrop>
  <Company/>
  <LinksUpToDate>false</LinksUpToDate>
  <CharactersWithSpaces>15248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Comercial — Ecossistema TKC</dc:title>
  <dc:creator>OTEC · Equipamentos PSI</dc:creator>
  <cp:lastModifiedBy>José Eliab Alves Caetano</cp:lastModifiedBy>
  <cp:revision>2</cp:revision>
  <dcterms:created xsi:type="dcterms:W3CDTF">2026-07-03T20:36:00Z</dcterms:created>
  <dcterms:modified xsi:type="dcterms:W3CDTF">2026-07-03T20:36:00Z</dcterms:modified>
</cp:coreProperties>
</file>