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OC1"/>
      </w:pPr>
      <w:hyperlink w:anchor="_Toc1">
        <w:r>
          <w:t>1</w:t>
        </w:r>
        <w:r>
          <w:tab/>
        </w:r>
        <w:r>
          <w:t>Introduction</w:t>
        </w:r>
        <w:r>
          <w:tab/>
        </w:r>
        <w:r>
          <w:t>5</w:t>
        </w:r>
      </w:hyperlink>
    </w:p>
    <w:sectPr>
      <w:pgSz w:w="12240" w:h="15840" w:orient="portrait"/>
      <w:pgMar w:top="1440" w:right="1440" w:bottom="1440" w:left="1440" w:header="720" w:footer="720" w:gutter="0"/>
      <w:cols w:num="1" w:sep="0" w:space="720" w:equalWidth="1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styleId="TOC1">
    <w:name w:val="toc 1"/>
    <w:pPr>
      <w:tabs>
        <w:tab w:val="left" w:pos="567"/>
        <w:tab w:val="right" w:leader="dot" w:pos="9628"/>
      </w:tabs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