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5437F">
      <w:pPr>
        <w:pStyle w:val="2"/>
        <w:bidi w:val="0"/>
        <w:spacing w:line="240" w:lineRule="auto"/>
        <w:jc w:val="center"/>
        <w:rPr>
          <w:rFonts w:hint="default"/>
          <w:lang w:val="en-US"/>
        </w:rPr>
      </w:pPr>
      <w:r>
        <w:rPr>
          <w:rFonts w:hint="default"/>
          <w:lang w:val="en-US"/>
        </w:rPr>
        <w:t>DNS Zone Transfer</w:t>
      </w:r>
    </w:p>
    <w:p w14:paraId="01A239D1">
      <w:pPr>
        <w:rPr>
          <w:rFonts w:hint="default"/>
          <w:lang w:val="en-US"/>
        </w:rPr>
      </w:pPr>
      <w:r>
        <w:rPr>
          <w:rFonts w:hint="default"/>
          <w:lang w:val="en-US"/>
        </w:rPr>
        <w:t>The process of coping DNS zone data from one DNS sever to another. This is primarily used to synchronize DNS information b/w primary to secondary server ensuring redundancy and reliability. Zone transfer  are crucial maintaining  accurate and consistence DNS information across multiple servers, allowing for continued name resolution even if one server fails.</w:t>
      </w:r>
    </w:p>
    <w:p w14:paraId="7CA049B2">
      <w:pPr>
        <w:rPr>
          <w:rFonts w:hint="default"/>
          <w:lang w:val="en-US"/>
        </w:rPr>
      </w:pPr>
    </w:p>
    <w:p w14:paraId="4FC30CBA">
      <w:pPr>
        <w:numPr>
          <w:ilvl w:val="0"/>
          <w:numId w:val="1"/>
        </w:numPr>
        <w:jc w:val="center"/>
        <w:rPr>
          <w:rFonts w:hint="default"/>
          <w:lang w:val="en-US"/>
        </w:rPr>
      </w:pPr>
      <w:r>
        <w:rPr>
          <w:rFonts w:hint="default"/>
          <w:lang w:val="en-US"/>
        </w:rPr>
        <w:t>Full Zone transfer (AXFR - Authoritative Zone Transfer)</w:t>
      </w:r>
    </w:p>
    <w:p w14:paraId="750F8E67">
      <w:pPr>
        <w:numPr>
          <w:ilvl w:val="0"/>
          <w:numId w:val="1"/>
        </w:numPr>
        <w:jc w:val="center"/>
        <w:rPr>
          <w:rFonts w:hint="default"/>
          <w:lang w:val="en-US"/>
        </w:rPr>
      </w:pPr>
      <w:r>
        <w:rPr>
          <w:rFonts w:hint="default"/>
          <w:lang w:val="en-US"/>
        </w:rPr>
        <w:t>Incremental zone transfer(IXFR)</w:t>
      </w:r>
    </w:p>
    <w:p w14:paraId="1A96EAF2">
      <w:pPr>
        <w:numPr>
          <w:numId w:val="0"/>
        </w:numPr>
        <w:jc w:val="both"/>
        <w:rPr>
          <w:rFonts w:hint="default"/>
          <w:lang w:val="en-US"/>
        </w:rPr>
      </w:pPr>
    </w:p>
    <w:p w14:paraId="0C36D682">
      <w:pPr>
        <w:numPr>
          <w:numId w:val="0"/>
        </w:numPr>
        <w:jc w:val="both"/>
        <w:rPr>
          <w:rFonts w:hint="default"/>
          <w:lang w:val="en-US"/>
        </w:rPr>
      </w:pPr>
    </w:p>
    <w:p w14:paraId="0168F52D">
      <w:pPr>
        <w:numPr>
          <w:numId w:val="0"/>
        </w:numPr>
        <w:jc w:val="both"/>
        <w:rPr>
          <w:rFonts w:hint="default"/>
          <w:b/>
          <w:bCs/>
          <w:lang w:val="en-US"/>
        </w:rPr>
      </w:pPr>
      <w:r>
        <w:rPr>
          <w:rFonts w:hint="default"/>
          <w:b/>
          <w:bCs/>
          <w:sz w:val="22"/>
          <w:szCs w:val="22"/>
          <w:lang w:val="en-US"/>
        </w:rPr>
        <w:t>Full Zone transfer (AXFR - Authoritative Zone Transfer) :</w:t>
      </w:r>
      <w:r>
        <w:rPr>
          <w:rFonts w:hint="default"/>
          <w:b/>
          <w:bCs/>
          <w:lang w:val="en-US"/>
        </w:rPr>
        <w:t xml:space="preserve"> </w:t>
      </w:r>
    </w:p>
    <w:p w14:paraId="7EC2BA93">
      <w:pPr>
        <w:numPr>
          <w:numId w:val="0"/>
        </w:numPr>
        <w:jc w:val="both"/>
        <w:rPr>
          <w:rFonts w:hint="default" w:ascii="Calibri" w:hAnsi="Calibri" w:eastAsia="Arial" w:cs="Calibri"/>
          <w:b w:val="0"/>
          <w:bCs w:val="0"/>
          <w:i w:val="0"/>
          <w:iCs w:val="0"/>
          <w:caps w:val="0"/>
          <w:color w:val="001D35"/>
          <w:spacing w:val="0"/>
          <w:sz w:val="20"/>
          <w:szCs w:val="20"/>
          <w:shd w:val="clear" w:fill="FFFFFF"/>
          <w:lang w:val="en-US"/>
        </w:rPr>
      </w:pPr>
      <w:r>
        <w:rPr>
          <w:rFonts w:hint="default" w:ascii="Calibri" w:hAnsi="Calibri" w:eastAsia="Arial" w:cs="Calibri"/>
          <w:b w:val="0"/>
          <w:bCs w:val="0"/>
          <w:i w:val="0"/>
          <w:iCs w:val="0"/>
          <w:caps w:val="0"/>
          <w:color w:val="001D35"/>
          <w:spacing w:val="0"/>
          <w:sz w:val="20"/>
          <w:szCs w:val="20"/>
          <w:shd w:val="clear" w:fill="FFFFFF"/>
        </w:rPr>
        <w:t>This method involves transferring the complete DNS zone file from a primary server to a secondary server. It's a straightforward process but can be less efficient if only a few records have changed</w:t>
      </w:r>
      <w:r>
        <w:rPr>
          <w:rFonts w:hint="default" w:ascii="Calibri" w:hAnsi="Calibri" w:eastAsia="Arial" w:cs="Calibri"/>
          <w:b w:val="0"/>
          <w:bCs w:val="0"/>
          <w:i w:val="0"/>
          <w:iCs w:val="0"/>
          <w:caps w:val="0"/>
          <w:color w:val="001D35"/>
          <w:spacing w:val="0"/>
          <w:sz w:val="20"/>
          <w:szCs w:val="20"/>
          <w:shd w:val="clear" w:fill="FFFFFF"/>
          <w:lang w:val="en-US"/>
        </w:rPr>
        <w:t>.</w:t>
      </w:r>
    </w:p>
    <w:p w14:paraId="7DB4C582">
      <w:pPr>
        <w:numPr>
          <w:numId w:val="0"/>
        </w:numPr>
        <w:jc w:val="both"/>
        <w:rPr>
          <w:rFonts w:hint="default" w:ascii="Calibri" w:hAnsi="Calibri" w:eastAsia="Arial" w:cs="Calibri"/>
          <w:b w:val="0"/>
          <w:bCs w:val="0"/>
          <w:i w:val="0"/>
          <w:iCs w:val="0"/>
          <w:caps w:val="0"/>
          <w:color w:val="001D35"/>
          <w:spacing w:val="0"/>
          <w:sz w:val="20"/>
          <w:szCs w:val="20"/>
          <w:shd w:val="clear" w:fill="FFFFFF"/>
          <w:lang w:val="en-US"/>
        </w:rPr>
      </w:pPr>
    </w:p>
    <w:p w14:paraId="5BE62D8E">
      <w:pPr>
        <w:numPr>
          <w:numId w:val="0"/>
        </w:numPr>
        <w:jc w:val="both"/>
        <w:rPr>
          <w:rFonts w:hint="default" w:ascii="Calibri" w:hAnsi="Calibri" w:eastAsia="Arial" w:cs="Calibri"/>
          <w:b w:val="0"/>
          <w:bCs w:val="0"/>
          <w:i w:val="0"/>
          <w:iCs w:val="0"/>
          <w:caps w:val="0"/>
          <w:color w:val="001D35"/>
          <w:spacing w:val="0"/>
          <w:sz w:val="20"/>
          <w:szCs w:val="20"/>
          <w:shd w:val="clear" w:fill="FFFFFF"/>
          <w:lang w:val="en-US"/>
        </w:rPr>
      </w:pPr>
      <w:r>
        <w:rPr>
          <w:rFonts w:hint="default" w:ascii="Calibri" w:hAnsi="Calibri" w:eastAsia="Arial" w:cs="Calibri"/>
          <w:b w:val="0"/>
          <w:bCs w:val="0"/>
          <w:i w:val="0"/>
          <w:iCs w:val="0"/>
          <w:caps w:val="0"/>
          <w:color w:val="001D35"/>
          <w:spacing w:val="0"/>
          <w:sz w:val="20"/>
          <w:szCs w:val="20"/>
          <w:shd w:val="clear" w:fill="FFFFFF"/>
          <w:lang w:val="en-US"/>
        </w:rPr>
        <w:drawing>
          <wp:inline distT="0" distB="0" distL="114300" distR="114300">
            <wp:extent cx="5272405" cy="888365"/>
            <wp:effectExtent l="0" t="0" r="4445" b="6985"/>
            <wp:docPr id="2" name="Picture 2" descr="Screenshot 2025-06-26 11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6 114925"/>
                    <pic:cNvPicPr>
                      <a:picLocks noChangeAspect="1"/>
                    </pic:cNvPicPr>
                  </pic:nvPicPr>
                  <pic:blipFill>
                    <a:blip r:embed="rId4"/>
                    <a:stretch>
                      <a:fillRect/>
                    </a:stretch>
                  </pic:blipFill>
                  <pic:spPr>
                    <a:xfrm>
                      <a:off x="0" y="0"/>
                      <a:ext cx="5272405" cy="888365"/>
                    </a:xfrm>
                    <a:prstGeom prst="rect">
                      <a:avLst/>
                    </a:prstGeom>
                  </pic:spPr>
                </pic:pic>
              </a:graphicData>
            </a:graphic>
          </wp:inline>
        </w:drawing>
      </w:r>
    </w:p>
    <w:p w14:paraId="67A020A4">
      <w:pPr>
        <w:numPr>
          <w:numId w:val="0"/>
        </w:numPr>
        <w:jc w:val="both"/>
        <w:rPr>
          <w:rFonts w:hint="default" w:ascii="Calibri" w:hAnsi="Calibri" w:eastAsia="Arial" w:cs="Calibri"/>
          <w:b w:val="0"/>
          <w:bCs w:val="0"/>
          <w:i w:val="0"/>
          <w:iCs w:val="0"/>
          <w:caps w:val="0"/>
          <w:color w:val="001D35"/>
          <w:spacing w:val="0"/>
          <w:sz w:val="20"/>
          <w:szCs w:val="20"/>
          <w:shd w:val="clear" w:fill="FFFFFF"/>
          <w:lang w:val="en-US"/>
        </w:rPr>
      </w:pPr>
      <w:bookmarkStart w:id="0" w:name="_GoBack"/>
      <w:bookmarkEnd w:id="0"/>
    </w:p>
    <w:p w14:paraId="36E52A67">
      <w:pPr>
        <w:numPr>
          <w:numId w:val="0"/>
        </w:numPr>
        <w:jc w:val="both"/>
        <w:rPr>
          <w:rFonts w:hint="default"/>
          <w:b/>
          <w:bCs/>
          <w:sz w:val="22"/>
          <w:szCs w:val="22"/>
          <w:lang w:val="en-US"/>
        </w:rPr>
      </w:pPr>
      <w:r>
        <w:rPr>
          <w:rFonts w:hint="default"/>
          <w:b/>
          <w:bCs/>
          <w:sz w:val="22"/>
          <w:szCs w:val="22"/>
          <w:lang w:val="en-US"/>
        </w:rPr>
        <w:t xml:space="preserve">Incremental zone transfer(IXFR) : </w:t>
      </w:r>
    </w:p>
    <w:p w14:paraId="2C22414C">
      <w:pPr>
        <w:numPr>
          <w:numId w:val="0"/>
        </w:numPr>
        <w:jc w:val="both"/>
        <w:rPr>
          <w:rFonts w:hint="default" w:ascii="Calibri" w:hAnsi="Calibri" w:cs="Calibri"/>
          <w:b w:val="0"/>
          <w:bCs w:val="0"/>
          <w:sz w:val="20"/>
          <w:szCs w:val="20"/>
          <w:lang w:val="en-US"/>
        </w:rPr>
      </w:pPr>
      <w:r>
        <w:rPr>
          <w:rFonts w:hint="default" w:ascii="Calibri" w:hAnsi="Calibri" w:eastAsia="Arial" w:cs="Calibri"/>
          <w:b w:val="0"/>
          <w:bCs w:val="0"/>
          <w:i w:val="0"/>
          <w:iCs w:val="0"/>
          <w:caps w:val="0"/>
          <w:color w:val="001D35"/>
          <w:spacing w:val="0"/>
          <w:sz w:val="20"/>
          <w:szCs w:val="20"/>
          <w:shd w:val="clear" w:fill="FFFFFF"/>
        </w:rPr>
        <w:t>This method transfers only the new or modified records since the last transfer. It's more efficient than AXFR when there are only minor changes to the zone file. </w:t>
      </w:r>
    </w:p>
    <w:p w14:paraId="4C3C94ED">
      <w:pPr>
        <w:numPr>
          <w:numId w:val="0"/>
        </w:numPr>
        <w:jc w:val="both"/>
        <w:rPr>
          <w:rFonts w:hint="default" w:ascii="Calibri" w:hAnsi="Calibri" w:eastAsia="Arial" w:cs="Calibri"/>
          <w:b w:val="0"/>
          <w:bCs w:val="0"/>
          <w:i w:val="0"/>
          <w:iCs w:val="0"/>
          <w:caps w:val="0"/>
          <w:color w:val="001D35"/>
          <w:spacing w:val="0"/>
          <w:sz w:val="20"/>
          <w:szCs w:val="20"/>
          <w:shd w:val="clear" w:fill="FFFFFF"/>
          <w:lang w:val="en-US"/>
        </w:rPr>
      </w:pPr>
    </w:p>
    <w:p w14:paraId="43B3F117">
      <w:pPr>
        <w:numPr>
          <w:numId w:val="0"/>
        </w:numPr>
        <w:jc w:val="both"/>
        <w:rPr>
          <w:rFonts w:hint="default"/>
          <w:lang w:val="en-US"/>
        </w:rPr>
      </w:pPr>
      <w:r>
        <w:rPr>
          <w:rFonts w:hint="default" w:ascii="Calibri" w:hAnsi="Calibri" w:eastAsia="Arial" w:cs="Calibri"/>
          <w:b w:val="0"/>
          <w:bCs w:val="0"/>
          <w:i w:val="0"/>
          <w:iCs w:val="0"/>
          <w:caps w:val="0"/>
          <w:color w:val="001D35"/>
          <w:spacing w:val="0"/>
          <w:sz w:val="20"/>
          <w:szCs w:val="20"/>
          <w:shd w:val="clear" w:fill="FFFFFF"/>
          <w:lang w:val="en-US"/>
        </w:rPr>
        <w:drawing>
          <wp:inline distT="0" distB="0" distL="114300" distR="114300">
            <wp:extent cx="5267960" cy="2249805"/>
            <wp:effectExtent l="0" t="0" r="8890" b="17145"/>
            <wp:docPr id="1" name="Picture 1" descr="Screenshot 2025-06-26 115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6 115634"/>
                    <pic:cNvPicPr>
                      <a:picLocks noChangeAspect="1"/>
                    </pic:cNvPicPr>
                  </pic:nvPicPr>
                  <pic:blipFill>
                    <a:blip r:embed="rId5"/>
                    <a:stretch>
                      <a:fillRect/>
                    </a:stretch>
                  </pic:blipFill>
                  <pic:spPr>
                    <a:xfrm>
                      <a:off x="0" y="0"/>
                      <a:ext cx="5267960" cy="224980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84E5B2"/>
    <w:multiLevelType w:val="singleLevel"/>
    <w:tmpl w:val="FD84E5B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E30C4"/>
    <w:rsid w:val="1F4E3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2025-06-28T04:58:00Z</dcterms:created>
  <dc:creator>pradeep</dc:creator>
  <cp:lastModifiedBy>pradeep eliah</cp:lastModifiedBy>
  <dcterms:modified xsi:type="dcterms:W3CDTF">2025-06-28T05:31:48Z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1033-12.2.0.21183</vt:lpwstr>
  </property>
  <property fmtid="{D5CDD505-2E9C-101B-9397-08002B2CF9AE}" pid="3" name="ICV">
    <vt:lpwstr>FD52555833B945E28F363B7508B32A8F_11</vt:lpwstr>
  </property>
</Properties>
</file>