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</w:p>
    <w:p w14:paraId="0980512A" w14:textId="77777777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CU3_Catálogo de tipos de </w:t>
      </w:r>
      <w:proofErr w:type="gramStart"/>
      <w:r>
        <w:rPr>
          <w:rFonts w:cs="Arial"/>
          <w:lang w:val="es-ES"/>
        </w:rPr>
        <w:t>quejas  para</w:t>
      </w:r>
      <w:proofErr w:type="gramEnd"/>
      <w:r>
        <w:rPr>
          <w:rFonts w:cs="Arial"/>
          <w:lang w:val="es-ES"/>
        </w:rPr>
        <w:t xml:space="preserve"> auto consultas</w:t>
      </w:r>
    </w:p>
    <w:p w14:paraId="1AB67002" w14:textId="77777777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</w:p>
    <w:p w14:paraId="63F3B598" w14:textId="77777777" w:rsidR="00A25A9F" w:rsidRDefault="00A25A9F" w:rsidP="00A25A9F">
      <w:pPr>
        <w:pStyle w:val="Ttulo1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Sistema para control de quejas</w:t>
      </w: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Elaborado por Ing. Edy Ramírez Colindres</w:t>
      </w:r>
    </w:p>
    <w:p w14:paraId="43EADB37" w14:textId="77777777" w:rsidR="00A25A9F" w:rsidRDefault="00A25A9F" w:rsidP="00A25A9F">
      <w:pPr>
        <w:pStyle w:val="ByLine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Fecha Elaboración 15/02/2020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 Colindres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7EFA640" w14:textId="77777777" w:rsidR="00A25A9F" w:rsidRDefault="00A25A9F" w:rsidP="00A25A9F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4FC9BFFD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Introducción</w:t>
      </w:r>
    </w:p>
    <w:p w14:paraId="09D7257B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presente caso de uso explica los datos contenidos en el catálogo de puntos de atención para el control de quejas por mal servicio o servicio no conforme por medio Aplicación Móvil del Banco Mi 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Describir los datos que contendrá el catálogo de tipos de quejas para auto consultas, para el control de quejas ingresadas, actualmente las quejas por mal servicio o servicio no conforme.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para llevar el control de quejas. 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4358ACD3" w14:textId="77777777" w:rsidR="00A25A9F" w:rsidRDefault="00A25A9F" w:rsidP="00A25A9F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tenga el rol de Administrador para poder acceder al mantenimiento del catálogo de tipos de quejas. Actualmente se está definiendo el tipo de queja por mal servicio o servicio no conforme, utilizando la nomenclatura: QMS (Quejas por mal servicio), seguido del correlativo y el año (QMS-1-2020).  </w:t>
      </w:r>
    </w:p>
    <w:p w14:paraId="3BEAF59E" w14:textId="77777777" w:rsidR="00A25A9F" w:rsidRDefault="00A25A9F" w:rsidP="00A25A9F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3FDD7581" w14:textId="77777777" w:rsidR="00A25A9F" w:rsidRDefault="00A25A9F" w:rsidP="00A25A9F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7777777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ingresa al catálogo de tipos de quejas para auto consultas.</w:t>
      </w:r>
    </w:p>
    <w:p w14:paraId="15B13A1A" w14:textId="7777777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pantalla para el Ingreso /Modificación de tipo de queja: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(ANEXO 1) [FA2]</w:t>
      </w:r>
    </w:p>
    <w:p w14:paraId="4B0EC140" w14:textId="77777777" w:rsidR="00A25A9F" w:rsidRDefault="00A25A9F" w:rsidP="00A25A9F">
      <w:pPr>
        <w:pStyle w:val="NormalWeb"/>
        <w:numPr>
          <w:ilvl w:val="4"/>
          <w:numId w:val="1"/>
        </w:numPr>
        <w:spacing w:beforeAutospacing="0" w:afterAutospacing="0"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b/>
          <w:iCs/>
          <w:sz w:val="20"/>
          <w:szCs w:val="20"/>
          <w:lang w:val="es-ES_tradnl"/>
        </w:rPr>
        <w:t>Siglas del tipo de queja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(por ejemplo, QMS = Quejas por Mal Servicio o servicio no conforme)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[FA1]</w:t>
      </w:r>
    </w:p>
    <w:p w14:paraId="10188ADF" w14:textId="77777777" w:rsidR="00A25A9F" w:rsidRDefault="00A25A9F" w:rsidP="00A25A9F">
      <w:pPr>
        <w:pStyle w:val="NormalWeb"/>
        <w:numPr>
          <w:ilvl w:val="4"/>
          <w:numId w:val="1"/>
        </w:numPr>
        <w:spacing w:beforeAutospacing="0" w:afterAutospacing="0"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b/>
          <w:iCs/>
          <w:sz w:val="20"/>
          <w:szCs w:val="20"/>
          <w:lang w:val="es-ES_tradnl"/>
        </w:rPr>
        <w:t>Descripción del tipo de queja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, descripción de la queja a crear. </w:t>
      </w:r>
    </w:p>
    <w:p w14:paraId="18943F97" w14:textId="77777777" w:rsidR="00A25A9F" w:rsidRDefault="00A25A9F" w:rsidP="00A25A9F">
      <w:pPr>
        <w:pStyle w:val="NormalWeb"/>
        <w:numPr>
          <w:ilvl w:val="4"/>
          <w:numId w:val="1"/>
        </w:numPr>
        <w:spacing w:beforeAutospacing="0" w:afterAutospacing="0"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Guardar</w:t>
      </w:r>
    </w:p>
    <w:p w14:paraId="0A584EA3" w14:textId="77777777" w:rsidR="00A25A9F" w:rsidRDefault="00A25A9F" w:rsidP="00A25A9F">
      <w:pPr>
        <w:pStyle w:val="NormalWeb"/>
        <w:numPr>
          <w:ilvl w:val="4"/>
          <w:numId w:val="1"/>
        </w:numPr>
        <w:spacing w:beforeAutospacing="0" w:afterAutospacing="0"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Modificar</w:t>
      </w:r>
    </w:p>
    <w:p w14:paraId="78CD8154" w14:textId="77777777" w:rsidR="00A25A9F" w:rsidRDefault="00A25A9F" w:rsidP="00A25A9F">
      <w:pPr>
        <w:pStyle w:val="NormalWeb"/>
        <w:numPr>
          <w:ilvl w:val="4"/>
          <w:numId w:val="1"/>
        </w:numPr>
        <w:spacing w:beforeAutospacing="0" w:afterAutospacing="0"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Cancelar</w:t>
      </w:r>
    </w:p>
    <w:p w14:paraId="7EE7639B" w14:textId="7777777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lastRenderedPageBreak/>
        <w:t>El usuario ingresa el nuevo tipo de queja, llenando los campos descritos anteriormente.</w:t>
      </w:r>
    </w:p>
    <w:p w14:paraId="0DE52753" w14:textId="7777777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>
        <w:rPr>
          <w:rFonts w:ascii="Arial" w:hAnsi="Arial" w:cs="Arial"/>
          <w:iCs/>
          <w:sz w:val="20"/>
          <w:szCs w:val="20"/>
          <w:highlight w:val="yellow"/>
          <w:lang w:val="es-ES_tradnl"/>
        </w:rPr>
        <w:t>El usuario elige botón Guardar.</w:t>
      </w:r>
    </w:p>
    <w:p w14:paraId="2B2251ED" w14:textId="7777777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>“¿Está seguro de que desea guardar el tipo de queja ingresada?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” y muestra los botones: “Sí” y “No”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[FA4]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EADC278" w14:textId="77777777" w:rsidR="00A25A9F" w:rsidRDefault="00A25A9F" w:rsidP="00A25A9F">
      <w:pPr>
        <w:pStyle w:val="NormalWeb"/>
        <w:numPr>
          <w:ilvl w:val="3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guarda la información, asignando </w:t>
      </w:r>
      <w:proofErr w:type="gramStart"/>
      <w:r>
        <w:rPr>
          <w:rFonts w:ascii="Arial" w:hAnsi="Arial" w:cs="Arial"/>
          <w:iCs/>
          <w:sz w:val="20"/>
          <w:szCs w:val="20"/>
          <w:lang w:val="es-ES_tradnl"/>
        </w:rPr>
        <w:t>estado  =</w:t>
      </w:r>
      <w:proofErr w:type="gramEnd"/>
      <w:r>
        <w:rPr>
          <w:rFonts w:ascii="Arial" w:hAnsi="Arial" w:cs="Arial"/>
          <w:iCs/>
          <w:sz w:val="20"/>
          <w:szCs w:val="20"/>
          <w:lang w:val="es-ES_tradnl"/>
        </w:rPr>
        <w:t xml:space="preserve"> Activo, agregando fecha de creación del tipo de queja y muestra el mensaje “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El tipo de queja </w:t>
      </w:r>
      <w:r>
        <w:rPr>
          <w:rFonts w:ascii="Arial" w:hAnsi="Arial" w:cs="Arial"/>
          <w:b/>
          <w:i/>
          <w:iCs/>
          <w:sz w:val="20"/>
          <w:szCs w:val="20"/>
          <w:lang w:val="es-ES_tradnl"/>
        </w:rPr>
        <w:t>Siglas del tipo de queja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 - </w:t>
      </w:r>
      <w:r>
        <w:rPr>
          <w:rFonts w:ascii="Arial" w:hAnsi="Arial" w:cs="Arial"/>
          <w:b/>
          <w:i/>
          <w:iCs/>
          <w:sz w:val="20"/>
          <w:szCs w:val="20"/>
          <w:lang w:val="es-ES_tradnl"/>
        </w:rPr>
        <w:t>Descripción del tipo de queja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>, fue guardado correctamente</w:t>
      </w:r>
      <w:r>
        <w:rPr>
          <w:rFonts w:ascii="Arial" w:hAnsi="Arial" w:cs="Arial"/>
          <w:iCs/>
          <w:sz w:val="20"/>
          <w:szCs w:val="20"/>
          <w:lang w:val="es-ES_tradnl"/>
        </w:rPr>
        <w:t>”.</w:t>
      </w:r>
    </w:p>
    <w:p w14:paraId="4B0A5979" w14:textId="7777777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053E4B61" w14:textId="77777777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[FA1] Las siglas del tipo de queja ya existen</w:t>
      </w:r>
    </w:p>
    <w:p w14:paraId="41DE7BF0" w14:textId="77777777" w:rsidR="00A25A9F" w:rsidRDefault="00A25A9F" w:rsidP="00A25A9F">
      <w:pPr>
        <w:pStyle w:val="NormalWeb"/>
        <w:numPr>
          <w:ilvl w:val="0"/>
          <w:numId w:val="3"/>
        </w:numPr>
        <w:spacing w:beforeAutospacing="0" w:afterAutospacing="0"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ingresa siglas de una queja que ya existe.</w:t>
      </w:r>
    </w:p>
    <w:p w14:paraId="0F458CC5" w14:textId="77777777" w:rsidR="00A25A9F" w:rsidRDefault="00A25A9F" w:rsidP="00A25A9F">
      <w:pPr>
        <w:pStyle w:val="NormalWeb"/>
        <w:numPr>
          <w:ilvl w:val="0"/>
          <w:numId w:val="3"/>
        </w:numPr>
        <w:spacing w:beforeAutospacing="0" w:afterAutospacing="0"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 “Las siglas para la queja que ingresó, ya fueron registradas previamente en el sistema, verifique.”</w:t>
      </w:r>
    </w:p>
    <w:p w14:paraId="7A36083A" w14:textId="77777777" w:rsidR="00A25A9F" w:rsidRDefault="00A25A9F" w:rsidP="00A25A9F">
      <w:pPr>
        <w:pStyle w:val="NormalWeb"/>
        <w:numPr>
          <w:ilvl w:val="0"/>
          <w:numId w:val="3"/>
        </w:numPr>
        <w:spacing w:beforeAutospacing="0" w:afterAutospacing="0"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2.3.2 del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7777777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[FA2] Modificación al tipo de queja</w:t>
      </w:r>
    </w:p>
    <w:p w14:paraId="21C68A04" w14:textId="77777777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listado de tipos de queja.</w:t>
      </w:r>
    </w:p>
    <w:p w14:paraId="58A9779F" w14:textId="77777777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el tipo de queja a modificar.</w:t>
      </w:r>
    </w:p>
    <w:p w14:paraId="785EE321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en pantalla los datos asociados al tipo de queja seleccionado, que son permitidos modificar:</w:t>
      </w:r>
    </w:p>
    <w:p w14:paraId="6B3C570E" w14:textId="77777777" w:rsidR="00A25A9F" w:rsidRDefault="00A25A9F" w:rsidP="00A25A9F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Descripción del tipo de queja</w:t>
      </w:r>
    </w:p>
    <w:p w14:paraId="04E4ADD9" w14:textId="77777777" w:rsidR="00A25A9F" w:rsidRDefault="00A25A9F" w:rsidP="00A25A9F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Estado del tipo de queja</w:t>
      </w:r>
    </w:p>
    <w:p w14:paraId="53EE17C0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actualiza datos. </w:t>
      </w:r>
    </w:p>
    <w:p w14:paraId="70120A3F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solicita grabación de datos actualizados.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FA3]</w:t>
      </w:r>
    </w:p>
    <w:p w14:paraId="7F20097F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FA5]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77777777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38038EC" w14:textId="77777777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[FA3] El usuario elige el botón Cancelar</w:t>
      </w:r>
    </w:p>
    <w:p w14:paraId="29147BDE" w14:textId="77777777" w:rsidR="00A25A9F" w:rsidRDefault="00A25A9F" w:rsidP="00A25A9F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11E0CE17" w14:textId="77777777" w:rsidR="00A25A9F" w:rsidRDefault="00A25A9F" w:rsidP="00A25A9F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2.3.3 de flujo básico.</w:t>
      </w:r>
    </w:p>
    <w:p w14:paraId="784F050B" w14:textId="77777777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[FA4] El usuario elija el botón No en la inactivación del tipo de queja</w:t>
      </w:r>
    </w:p>
    <w:p w14:paraId="0A817C26" w14:textId="77777777" w:rsidR="00A25A9F" w:rsidRDefault="00A25A9F" w:rsidP="00A25A9F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“No”.</w:t>
      </w:r>
    </w:p>
    <w:p w14:paraId="248468BE" w14:textId="77777777" w:rsidR="00A25A9F" w:rsidRDefault="00A25A9F" w:rsidP="00A25A9F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blanco el campo </w:t>
      </w:r>
      <w:r>
        <w:rPr>
          <w:rFonts w:ascii="Arial" w:hAnsi="Arial" w:cs="Arial"/>
          <w:bCs/>
          <w:i/>
          <w:sz w:val="20"/>
          <w:szCs w:val="20"/>
          <w:lang w:val="es-ES_tradnl"/>
        </w:rPr>
        <w:t>Descripción del tipo de queja</w:t>
      </w:r>
      <w:r>
        <w:rPr>
          <w:rFonts w:ascii="Arial" w:hAnsi="Arial" w:cs="Arial"/>
          <w:bCs/>
          <w:sz w:val="20"/>
          <w:szCs w:val="20"/>
          <w:lang w:val="es-ES_tradnl"/>
        </w:rPr>
        <w:t>, solo si todavía no hay quejas ingresadas, asociadas a las siglas de la queja que se quiere modificar.</w:t>
      </w:r>
    </w:p>
    <w:p w14:paraId="06B2F793" w14:textId="77777777" w:rsidR="00A25A9F" w:rsidRDefault="00A25A9F" w:rsidP="00A25A9F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1AD07EDF" w14:textId="77777777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[FA5] El usuario elige el botón No en la advertencia que hace el sistema de si está seguro de guardar el tipo de queja ingresada</w:t>
      </w:r>
    </w:p>
    <w:p w14:paraId="4B9FFAE4" w14:textId="77777777" w:rsidR="00A25A9F" w:rsidRDefault="00A25A9F" w:rsidP="00A25A9F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“No” en la advertencia que hace el sistema de si está seguro de guardar los cambios.</w:t>
      </w:r>
    </w:p>
    <w:p w14:paraId="5368DA6A" w14:textId="77777777" w:rsidR="00A25A9F" w:rsidRDefault="00A25A9F" w:rsidP="00A25A9F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no guarda la información.</w:t>
      </w:r>
    </w:p>
    <w:p w14:paraId="788FE953" w14:textId="77777777" w:rsidR="00A25A9F" w:rsidRDefault="00A25A9F" w:rsidP="00A25A9F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2.3.2 del flujo básico.</w:t>
      </w:r>
    </w:p>
    <w:p w14:paraId="43F706AB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76C7AF26" w14:textId="77777777" w:rsidR="00A25A9F" w:rsidRDefault="00A25A9F" w:rsidP="00A25A9F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La información para el tipo de queja queda registrada en el sistema.</w:t>
      </w:r>
    </w:p>
    <w:p w14:paraId="65974D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left="300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085FFE3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2F74F1B5" w14:textId="77777777" w:rsidR="00EE3ACD" w:rsidRDefault="00EE3ACD"/>
    <w:sectPr w:rsidR="00EE3A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D71A" w14:textId="77777777" w:rsidR="00064A9F" w:rsidRDefault="00064A9F" w:rsidP="00A25A9F">
      <w:r>
        <w:separator/>
      </w:r>
    </w:p>
  </w:endnote>
  <w:endnote w:type="continuationSeparator" w:id="0">
    <w:p w14:paraId="7E126C5F" w14:textId="77777777" w:rsidR="00064A9F" w:rsidRDefault="00064A9F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AF65" w14:textId="77777777" w:rsidR="00064A9F" w:rsidRDefault="00064A9F" w:rsidP="00A25A9F">
      <w:r>
        <w:separator/>
      </w:r>
    </w:p>
  </w:footnote>
  <w:footnote w:type="continuationSeparator" w:id="0">
    <w:p w14:paraId="0F3FDEA3" w14:textId="77777777" w:rsidR="00064A9F" w:rsidRDefault="00064A9F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77777777" w:rsidR="00A25A9F" w:rsidRDefault="00A25A9F" w:rsidP="00A25A9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0003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Encabezado"/>
    </w:pPr>
  </w:p>
  <w:p w14:paraId="00F159A7" w14:textId="77777777" w:rsidR="00A25A9F" w:rsidRDefault="00A25A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B86EF2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64A9F"/>
    <w:rsid w:val="00140D3F"/>
    <w:rsid w:val="001426F8"/>
    <w:rsid w:val="00695039"/>
    <w:rsid w:val="00A25A9F"/>
    <w:rsid w:val="00E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semiHidden/>
    <w:unhideWhenUsed/>
    <w:rsid w:val="00A25A9F"/>
    <w:pPr>
      <w:spacing w:before="100" w:beforeAutospacing="1" w:after="100" w:afterAutospacing="1"/>
    </w:pPr>
  </w:style>
  <w:style w:type="paragraph" w:styleId="Ttulo">
    <w:name w:val="Title"/>
    <w:basedOn w:val="Normal"/>
    <w:link w:val="TtuloC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A25A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tulo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Encabezado">
    <w:name w:val="header"/>
    <w:basedOn w:val="Normal"/>
    <w:link w:val="EncabezadoCar"/>
    <w:unhideWhenUsed/>
    <w:rsid w:val="00A25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2</cp:revision>
  <dcterms:created xsi:type="dcterms:W3CDTF">2021-07-29T16:44:00Z</dcterms:created>
  <dcterms:modified xsi:type="dcterms:W3CDTF">2021-07-29T16:46:00Z</dcterms:modified>
</cp:coreProperties>
</file>