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BA939" w14:textId="00C87FDF" w:rsidR="00444528" w:rsidRPr="00444528" w:rsidRDefault="00444528" w:rsidP="00444528">
      <w:pPr>
        <w:spacing w:after="0"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noProof/>
          <w:color w:val="007BFF"/>
          <w:sz w:val="24"/>
          <w:szCs w:val="24"/>
          <w:bdr w:val="none" w:sz="0" w:space="0" w:color="auto" w:frame="1"/>
        </w:rPr>
        <w:drawing>
          <wp:inline distT="0" distB="0" distL="0" distR="0" wp14:anchorId="675CFB4B" wp14:editId="1FC5C2A2">
            <wp:extent cx="1711960" cy="818515"/>
            <wp:effectExtent l="0" t="0" r="2540" b="635"/>
            <wp:docPr id="4" name="Picture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1960" cy="818515"/>
                    </a:xfrm>
                    <a:prstGeom prst="rect">
                      <a:avLst/>
                    </a:prstGeom>
                    <a:noFill/>
                    <a:ln>
                      <a:noFill/>
                    </a:ln>
                  </pic:spPr>
                </pic:pic>
              </a:graphicData>
            </a:graphic>
          </wp:inline>
        </w:drawing>
      </w:r>
    </w:p>
    <w:p w14:paraId="1507C08F" w14:textId="77777777" w:rsidR="00444528" w:rsidRPr="00444528" w:rsidRDefault="00444528" w:rsidP="00444528">
      <w:pPr>
        <w:numPr>
          <w:ilvl w:val="0"/>
          <w:numId w:val="1"/>
        </w:numPr>
        <w:spacing w:after="0" w:line="240" w:lineRule="auto"/>
        <w:ind w:right="75"/>
        <w:textAlignment w:val="baseline"/>
        <w:rPr>
          <w:rFonts w:ascii="Times New Roman" w:eastAsia="Times New Roman" w:hAnsi="Times New Roman" w:cs="Times New Roman"/>
          <w:sz w:val="24"/>
          <w:szCs w:val="24"/>
        </w:rPr>
      </w:pPr>
      <w:hyperlink r:id="rId7" w:history="1">
        <w:r w:rsidRPr="00444528">
          <w:rPr>
            <w:rFonts w:ascii="inherit" w:eastAsia="Times New Roman" w:hAnsi="inherit" w:cs="Times New Roman"/>
            <w:color w:val="333333"/>
            <w:sz w:val="26"/>
            <w:szCs w:val="26"/>
            <w:u w:val="single"/>
            <w:bdr w:val="none" w:sz="0" w:space="0" w:color="auto" w:frame="1"/>
          </w:rPr>
          <w:t>Home</w:t>
        </w:r>
      </w:hyperlink>
    </w:p>
    <w:p w14:paraId="6572E10C" w14:textId="77777777" w:rsidR="00444528" w:rsidRPr="00444528" w:rsidRDefault="00444528" w:rsidP="00444528">
      <w:pPr>
        <w:numPr>
          <w:ilvl w:val="0"/>
          <w:numId w:val="1"/>
        </w:numPr>
        <w:spacing w:after="0" w:line="240" w:lineRule="auto"/>
        <w:ind w:right="75"/>
        <w:textAlignment w:val="baseline"/>
        <w:rPr>
          <w:rFonts w:ascii="Times New Roman" w:eastAsia="Times New Roman" w:hAnsi="Times New Roman" w:cs="Times New Roman"/>
          <w:sz w:val="24"/>
          <w:szCs w:val="24"/>
        </w:rPr>
      </w:pPr>
      <w:hyperlink r:id="rId8" w:history="1">
        <w:r w:rsidRPr="00444528">
          <w:rPr>
            <w:rFonts w:ascii="inherit" w:eastAsia="Times New Roman" w:hAnsi="inherit" w:cs="Times New Roman"/>
            <w:color w:val="333333"/>
            <w:sz w:val="26"/>
            <w:szCs w:val="26"/>
            <w:u w:val="single"/>
            <w:bdr w:val="none" w:sz="0" w:space="0" w:color="auto" w:frame="1"/>
          </w:rPr>
          <w:t>Professional Pronouncements</w:t>
        </w:r>
      </w:hyperlink>
    </w:p>
    <w:p w14:paraId="033084EC" w14:textId="77777777" w:rsidR="00444528" w:rsidRPr="00444528" w:rsidRDefault="00444528" w:rsidP="00444528">
      <w:pPr>
        <w:numPr>
          <w:ilvl w:val="0"/>
          <w:numId w:val="1"/>
        </w:numPr>
        <w:spacing w:after="0" w:line="240" w:lineRule="auto"/>
        <w:ind w:right="75"/>
        <w:textAlignment w:val="baseline"/>
        <w:rPr>
          <w:rFonts w:ascii="Times New Roman" w:eastAsia="Times New Roman" w:hAnsi="Times New Roman" w:cs="Times New Roman"/>
          <w:sz w:val="24"/>
          <w:szCs w:val="24"/>
        </w:rPr>
      </w:pPr>
      <w:hyperlink r:id="rId9" w:history="1">
        <w:r w:rsidRPr="00444528">
          <w:rPr>
            <w:rFonts w:ascii="inherit" w:eastAsia="Times New Roman" w:hAnsi="inherit" w:cs="Times New Roman"/>
            <w:color w:val="333333"/>
            <w:sz w:val="26"/>
            <w:szCs w:val="26"/>
            <w:u w:val="single"/>
            <w:bdr w:val="none" w:sz="0" w:space="0" w:color="auto" w:frame="1"/>
          </w:rPr>
          <w:t>Standard Setting</w:t>
        </w:r>
      </w:hyperlink>
    </w:p>
    <w:p w14:paraId="7767F300" w14:textId="77777777" w:rsidR="00444528" w:rsidRPr="00444528" w:rsidRDefault="00444528" w:rsidP="00444528">
      <w:pPr>
        <w:numPr>
          <w:ilvl w:val="0"/>
          <w:numId w:val="1"/>
        </w:numPr>
        <w:spacing w:after="0" w:line="240" w:lineRule="auto"/>
        <w:ind w:right="75"/>
        <w:textAlignment w:val="baseline"/>
        <w:rPr>
          <w:rFonts w:ascii="Times New Roman" w:eastAsia="Times New Roman" w:hAnsi="Times New Roman" w:cs="Times New Roman"/>
          <w:sz w:val="24"/>
          <w:szCs w:val="24"/>
        </w:rPr>
      </w:pPr>
      <w:hyperlink r:id="rId10" w:history="1">
        <w:r w:rsidRPr="00444528">
          <w:rPr>
            <w:rFonts w:ascii="inherit" w:eastAsia="Times New Roman" w:hAnsi="inherit" w:cs="Times New Roman"/>
            <w:color w:val="333333"/>
            <w:sz w:val="26"/>
            <w:szCs w:val="26"/>
            <w:u w:val="single"/>
            <w:bdr w:val="none" w:sz="0" w:space="0" w:color="auto" w:frame="1"/>
          </w:rPr>
          <w:t>ISSAIs in Action</w:t>
        </w:r>
      </w:hyperlink>
    </w:p>
    <w:p w14:paraId="69E239B7" w14:textId="77777777" w:rsidR="00444528" w:rsidRPr="00444528" w:rsidRDefault="00444528" w:rsidP="00444528">
      <w:pPr>
        <w:numPr>
          <w:ilvl w:val="0"/>
          <w:numId w:val="1"/>
        </w:numPr>
        <w:spacing w:after="0" w:line="240" w:lineRule="auto"/>
        <w:ind w:right="75"/>
        <w:textAlignment w:val="baseline"/>
        <w:rPr>
          <w:rFonts w:ascii="Times New Roman" w:eastAsia="Times New Roman" w:hAnsi="Times New Roman" w:cs="Times New Roman"/>
          <w:sz w:val="24"/>
          <w:szCs w:val="24"/>
        </w:rPr>
      </w:pPr>
      <w:hyperlink r:id="rId11" w:history="1">
        <w:r w:rsidRPr="00444528">
          <w:rPr>
            <w:rFonts w:ascii="inherit" w:eastAsia="Times New Roman" w:hAnsi="inherit" w:cs="Times New Roman"/>
            <w:color w:val="FFFFFF"/>
            <w:sz w:val="26"/>
            <w:szCs w:val="26"/>
            <w:u w:val="single"/>
            <w:bdr w:val="none" w:sz="0" w:space="0" w:color="auto" w:frame="1"/>
            <w:shd w:val="clear" w:color="auto" w:fill="514BBA"/>
          </w:rPr>
          <w:t>About</w:t>
        </w:r>
      </w:hyperlink>
    </w:p>
    <w:p w14:paraId="26CD15D9" w14:textId="77777777" w:rsidR="00444528" w:rsidRPr="00444528" w:rsidRDefault="00444528" w:rsidP="00444528">
      <w:pPr>
        <w:numPr>
          <w:ilvl w:val="0"/>
          <w:numId w:val="1"/>
        </w:numPr>
        <w:spacing w:after="0" w:line="240" w:lineRule="auto"/>
        <w:textAlignment w:val="baseline"/>
        <w:rPr>
          <w:rFonts w:ascii="Times New Roman" w:eastAsia="Times New Roman" w:hAnsi="Times New Roman" w:cs="Times New Roman"/>
          <w:sz w:val="24"/>
          <w:szCs w:val="24"/>
        </w:rPr>
      </w:pPr>
      <w:hyperlink r:id="rId12" w:history="1">
        <w:r w:rsidRPr="00444528">
          <w:rPr>
            <w:rFonts w:ascii="inherit" w:eastAsia="Times New Roman" w:hAnsi="inherit" w:cs="Times New Roman"/>
            <w:color w:val="333333"/>
            <w:sz w:val="26"/>
            <w:szCs w:val="26"/>
            <w:u w:val="single"/>
            <w:bdr w:val="none" w:sz="0" w:space="0" w:color="auto" w:frame="1"/>
          </w:rPr>
          <w:t>Contact</w:t>
        </w:r>
      </w:hyperlink>
    </w:p>
    <w:p w14:paraId="24CBDCAE" w14:textId="77777777" w:rsidR="00444528" w:rsidRPr="00444528" w:rsidRDefault="00444528" w:rsidP="00444528">
      <w:pPr>
        <w:pBdr>
          <w:bottom w:val="single" w:sz="6" w:space="0" w:color="CCCCCC"/>
        </w:pBdr>
        <w:spacing w:before="100" w:beforeAutospacing="1" w:after="100" w:afterAutospacing="1" w:line="240" w:lineRule="auto"/>
        <w:textAlignment w:val="baseline"/>
        <w:outlineLvl w:val="0"/>
        <w:rPr>
          <w:rFonts w:ascii="inherit" w:eastAsia="Times New Roman" w:hAnsi="inherit" w:cs="Times New Roman"/>
          <w:kern w:val="36"/>
          <w:sz w:val="48"/>
          <w:szCs w:val="48"/>
        </w:rPr>
      </w:pPr>
      <w:r w:rsidRPr="00444528">
        <w:rPr>
          <w:rFonts w:ascii="inherit" w:eastAsia="Times New Roman" w:hAnsi="inherit" w:cs="Times New Roman"/>
          <w:kern w:val="36"/>
          <w:sz w:val="48"/>
          <w:szCs w:val="48"/>
        </w:rPr>
        <w:t>About the INTOSAI Framework of Professional Pronouncements – IFPP</w:t>
      </w:r>
    </w:p>
    <w:p w14:paraId="3BDDD78D" w14:textId="77777777" w:rsidR="00444528" w:rsidRPr="00444528" w:rsidRDefault="00444528" w:rsidP="00444528">
      <w:pPr>
        <w:numPr>
          <w:ilvl w:val="0"/>
          <w:numId w:val="2"/>
        </w:numPr>
        <w:spacing w:after="0" w:line="240" w:lineRule="auto"/>
        <w:ind w:right="75"/>
        <w:textAlignment w:val="baseline"/>
        <w:rPr>
          <w:rFonts w:ascii="Roboto" w:eastAsia="Times New Roman" w:hAnsi="Roboto" w:cs="Times New Roman"/>
          <w:sz w:val="24"/>
          <w:szCs w:val="24"/>
        </w:rPr>
      </w:pPr>
      <w:hyperlink r:id="rId13" w:history="1">
        <w:r w:rsidRPr="00444528">
          <w:rPr>
            <w:rFonts w:ascii="Roboto" w:eastAsia="Times New Roman" w:hAnsi="Roboto" w:cs="Times New Roman"/>
            <w:color w:val="333333"/>
            <w:sz w:val="24"/>
            <w:szCs w:val="24"/>
            <w:u w:val="single"/>
            <w:bdr w:val="none" w:sz="0" w:space="0" w:color="auto" w:frame="1"/>
          </w:rPr>
          <w:t>Home</w:t>
        </w:r>
      </w:hyperlink>
      <w:r w:rsidRPr="00444528">
        <w:rPr>
          <w:rFonts w:ascii="Roboto" w:eastAsia="Times New Roman" w:hAnsi="Roboto" w:cs="Times New Roman"/>
          <w:sz w:val="24"/>
          <w:szCs w:val="24"/>
        </w:rPr>
        <w:t>&gt;</w:t>
      </w:r>
    </w:p>
    <w:p w14:paraId="48A31BFB" w14:textId="77777777" w:rsidR="00444528" w:rsidRPr="00444528" w:rsidRDefault="00444528" w:rsidP="00444528">
      <w:pPr>
        <w:numPr>
          <w:ilvl w:val="0"/>
          <w:numId w:val="2"/>
        </w:numPr>
        <w:spacing w:after="0" w:line="240" w:lineRule="auto"/>
        <w:ind w:right="75"/>
        <w:textAlignment w:val="baseline"/>
        <w:rPr>
          <w:rFonts w:ascii="Roboto" w:eastAsia="Times New Roman" w:hAnsi="Roboto" w:cs="Times New Roman"/>
          <w:sz w:val="24"/>
          <w:szCs w:val="24"/>
        </w:rPr>
      </w:pPr>
      <w:r w:rsidRPr="00444528">
        <w:rPr>
          <w:rFonts w:ascii="Roboto" w:eastAsia="Times New Roman" w:hAnsi="Roboto" w:cs="Times New Roman"/>
          <w:sz w:val="24"/>
          <w:szCs w:val="24"/>
        </w:rPr>
        <w:t>About the INTOSAI Framework of Professional Pronouncements – IFPP</w:t>
      </w:r>
    </w:p>
    <w:p w14:paraId="34754B45" w14:textId="77777777" w:rsidR="00444528" w:rsidRPr="00444528" w:rsidRDefault="00444528" w:rsidP="00444528">
      <w:pPr>
        <w:spacing w:beforeAutospacing="1" w:after="0" w:afterAutospacing="1" w:line="240" w:lineRule="auto"/>
        <w:textAlignment w:val="baseline"/>
        <w:rPr>
          <w:rFonts w:ascii="Times New Roman" w:eastAsia="Times New Roman" w:hAnsi="Times New Roman" w:cs="Times New Roman"/>
          <w:sz w:val="24"/>
          <w:szCs w:val="24"/>
        </w:rPr>
      </w:pPr>
      <w:r w:rsidRPr="00444528">
        <w:rPr>
          <w:rFonts w:ascii="inherit" w:eastAsia="Times New Roman" w:hAnsi="inherit" w:cs="Times New Roman"/>
          <w:b/>
          <w:bCs/>
          <w:sz w:val="24"/>
          <w:szCs w:val="24"/>
          <w:bdr w:val="none" w:sz="0" w:space="0" w:color="auto" w:frame="1"/>
        </w:rPr>
        <w:t>INTOSAI Professional Pronouncements</w:t>
      </w:r>
      <w:r w:rsidRPr="00444528">
        <w:rPr>
          <w:rFonts w:ascii="Times New Roman" w:eastAsia="Times New Roman" w:hAnsi="Times New Roman" w:cs="Times New Roman"/>
          <w:sz w:val="24"/>
          <w:szCs w:val="24"/>
        </w:rPr>
        <w:t xml:space="preserve"> are the formal and authoritative announcements or declarations of the INTOSAI Community. They draw on the collective professional expertise of INTOSAI’s members and provide INTOSAI’s official statements on audit-related matters. All the pronouncements are </w:t>
      </w:r>
      <w:proofErr w:type="spellStart"/>
      <w:r w:rsidRPr="00444528">
        <w:rPr>
          <w:rFonts w:ascii="Times New Roman" w:eastAsia="Times New Roman" w:hAnsi="Times New Roman" w:cs="Times New Roman"/>
          <w:sz w:val="24"/>
          <w:szCs w:val="24"/>
        </w:rPr>
        <w:t>organised</w:t>
      </w:r>
      <w:proofErr w:type="spellEnd"/>
      <w:r w:rsidRPr="00444528">
        <w:rPr>
          <w:rFonts w:ascii="Times New Roman" w:eastAsia="Times New Roman" w:hAnsi="Times New Roman" w:cs="Times New Roman"/>
          <w:sz w:val="24"/>
          <w:szCs w:val="24"/>
        </w:rPr>
        <w:t xml:space="preserve"> and numbered according to their status and purpose in a single framework.</w:t>
      </w:r>
    </w:p>
    <w:p w14:paraId="12D55CCD" w14:textId="77777777" w:rsidR="00444528" w:rsidRPr="00444528" w:rsidRDefault="00444528" w:rsidP="00444528">
      <w:pPr>
        <w:spacing w:beforeAutospacing="1" w:after="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This framework –</w:t>
      </w:r>
      <w:r w:rsidRPr="00444528">
        <w:rPr>
          <w:rFonts w:ascii="inherit" w:eastAsia="Times New Roman" w:hAnsi="inherit" w:cs="Times New Roman"/>
          <w:b/>
          <w:bCs/>
          <w:sz w:val="24"/>
          <w:szCs w:val="24"/>
          <w:bdr w:val="none" w:sz="0" w:space="0" w:color="auto" w:frame="1"/>
        </w:rPr>
        <w:t> The INTOSAI Framework of Professional Pronouncements (IFPP) –</w:t>
      </w:r>
      <w:r w:rsidRPr="00444528">
        <w:rPr>
          <w:rFonts w:ascii="Times New Roman" w:eastAsia="Times New Roman" w:hAnsi="Times New Roman" w:cs="Times New Roman"/>
          <w:sz w:val="24"/>
          <w:szCs w:val="24"/>
        </w:rPr>
        <w:t> contains three categories of professional pronouncements:</w:t>
      </w:r>
    </w:p>
    <w:p w14:paraId="1E55E9EF" w14:textId="77777777" w:rsidR="00444528" w:rsidRPr="00444528" w:rsidRDefault="00444528" w:rsidP="00444528">
      <w:pPr>
        <w:spacing w:before="100" w:beforeAutospacing="1" w:after="100" w:afterAutospacing="1" w:line="240" w:lineRule="auto"/>
        <w:textAlignment w:val="baseline"/>
        <w:outlineLvl w:val="4"/>
        <w:rPr>
          <w:rFonts w:ascii="inherit" w:eastAsia="Times New Roman" w:hAnsi="inherit" w:cs="Times New Roman"/>
          <w:sz w:val="20"/>
          <w:szCs w:val="20"/>
        </w:rPr>
      </w:pPr>
      <w:r w:rsidRPr="00444528">
        <w:rPr>
          <w:rFonts w:ascii="inherit" w:eastAsia="Times New Roman" w:hAnsi="inherit" w:cs="Times New Roman"/>
          <w:sz w:val="20"/>
          <w:szCs w:val="20"/>
        </w:rPr>
        <w:t>The INTOSAI Principles (INTOSAI-P)</w:t>
      </w:r>
    </w:p>
    <w:p w14:paraId="60FC37E9"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INTOSAI Principles consist of founding principles and core principles. The founding principles have historical significance and specify the role and functions, which SAIs should aspire to. These principles may be informative to Governments and Parliaments, as well as SAIs and the wider public and may be used as reference in establishing national mandates for SAIs.</w:t>
      </w:r>
    </w:p>
    <w:p w14:paraId="46F9C76D"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core principles support the founding principles for an SAI, clarifying the SAI’s role in society as well as high level prerequisites for its proper functioning and professional conduct.</w:t>
      </w:r>
    </w:p>
    <w:p w14:paraId="77647C02" w14:textId="77777777" w:rsidR="00444528" w:rsidRPr="00444528" w:rsidRDefault="00444528" w:rsidP="00444528">
      <w:pPr>
        <w:spacing w:before="100" w:beforeAutospacing="1" w:after="100" w:afterAutospacing="1" w:line="240" w:lineRule="auto"/>
        <w:textAlignment w:val="baseline"/>
        <w:outlineLvl w:val="4"/>
        <w:rPr>
          <w:rFonts w:ascii="inherit" w:eastAsia="Times New Roman" w:hAnsi="inherit" w:cs="Times New Roman"/>
          <w:sz w:val="20"/>
          <w:szCs w:val="20"/>
        </w:rPr>
      </w:pPr>
      <w:r w:rsidRPr="00444528">
        <w:rPr>
          <w:rFonts w:ascii="inherit" w:eastAsia="Times New Roman" w:hAnsi="inherit" w:cs="Times New Roman"/>
          <w:sz w:val="20"/>
          <w:szCs w:val="20"/>
        </w:rPr>
        <w:t>The International Standards of Supreme Audit Institutions (ISSAI)</w:t>
      </w:r>
    </w:p>
    <w:p w14:paraId="64F649A4"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ISSAIs are the authoritative international standards on public sector auditing. The purpose of the ISSAIs is to:</w:t>
      </w:r>
    </w:p>
    <w:p w14:paraId="57740E97" w14:textId="77777777" w:rsidR="00444528" w:rsidRPr="00444528" w:rsidRDefault="00444528" w:rsidP="00444528">
      <w:pPr>
        <w:numPr>
          <w:ilvl w:val="0"/>
          <w:numId w:val="3"/>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ensure the quality of the audits conducted</w:t>
      </w:r>
    </w:p>
    <w:p w14:paraId="1A6093EB" w14:textId="77777777" w:rsidR="00444528" w:rsidRPr="00444528" w:rsidRDefault="00444528" w:rsidP="00444528">
      <w:pPr>
        <w:numPr>
          <w:ilvl w:val="0"/>
          <w:numId w:val="3"/>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strengthen the credibility of the audit reports for users</w:t>
      </w:r>
    </w:p>
    <w:p w14:paraId="061768C7" w14:textId="77777777" w:rsidR="00444528" w:rsidRPr="00444528" w:rsidRDefault="00444528" w:rsidP="00444528">
      <w:pPr>
        <w:numPr>
          <w:ilvl w:val="0"/>
          <w:numId w:val="3"/>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lastRenderedPageBreak/>
        <w:t>enhance transparency of the audit process</w:t>
      </w:r>
    </w:p>
    <w:p w14:paraId="4B1B5BEE" w14:textId="77777777" w:rsidR="00444528" w:rsidRPr="00444528" w:rsidRDefault="00444528" w:rsidP="00444528">
      <w:pPr>
        <w:numPr>
          <w:ilvl w:val="0"/>
          <w:numId w:val="3"/>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specify the auditor’s responsibility in relation to the other parties involved</w:t>
      </w:r>
    </w:p>
    <w:p w14:paraId="73A297CB" w14:textId="77777777" w:rsidR="00444528" w:rsidRPr="00444528" w:rsidRDefault="00444528" w:rsidP="00444528">
      <w:pPr>
        <w:numPr>
          <w:ilvl w:val="0"/>
          <w:numId w:val="3"/>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define the different types of audit engagements and the related set of concepts that provides a common language for public sector auditing.</w:t>
      </w:r>
    </w:p>
    <w:p w14:paraId="3FA63AE3"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full set of ISSAIs is based on a basic set of concepts and principles that defines public sector auditing and the different types of engagements supported by the ISSAIs.</w:t>
      </w:r>
    </w:p>
    <w:p w14:paraId="672DDEEB" w14:textId="77777777" w:rsidR="00444528" w:rsidRPr="00444528" w:rsidRDefault="00444528" w:rsidP="00444528">
      <w:pPr>
        <w:spacing w:before="100" w:beforeAutospacing="1" w:after="100" w:afterAutospacing="1" w:line="240" w:lineRule="auto"/>
        <w:textAlignment w:val="baseline"/>
        <w:outlineLvl w:val="4"/>
        <w:rPr>
          <w:rFonts w:ascii="inherit" w:eastAsia="Times New Roman" w:hAnsi="inherit" w:cs="Times New Roman"/>
          <w:sz w:val="20"/>
          <w:szCs w:val="20"/>
        </w:rPr>
      </w:pPr>
      <w:r w:rsidRPr="00444528">
        <w:rPr>
          <w:rFonts w:ascii="inherit" w:eastAsia="Times New Roman" w:hAnsi="inherit" w:cs="Times New Roman"/>
          <w:sz w:val="20"/>
          <w:szCs w:val="20"/>
        </w:rPr>
        <w:t>The INTOSAI Guidance (GUID)</w:t>
      </w:r>
    </w:p>
    <w:p w14:paraId="65CDD002"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guidance is developed by INTOSAI in order to support the SAI and individual auditors in:</w:t>
      </w:r>
    </w:p>
    <w:p w14:paraId="23B1D97C" w14:textId="77777777" w:rsidR="00444528" w:rsidRPr="00444528" w:rsidRDefault="00444528" w:rsidP="00444528">
      <w:pPr>
        <w:numPr>
          <w:ilvl w:val="0"/>
          <w:numId w:val="4"/>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How to apply the ISSAIs in practice in the financial, performance or compliance audit processes</w:t>
      </w:r>
    </w:p>
    <w:p w14:paraId="78F12E14" w14:textId="77777777" w:rsidR="00444528" w:rsidRPr="00444528" w:rsidRDefault="00444528" w:rsidP="00444528">
      <w:pPr>
        <w:numPr>
          <w:ilvl w:val="0"/>
          <w:numId w:val="4"/>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How to apply the ISSAIs in practice in other engagements</w:t>
      </w:r>
    </w:p>
    <w:p w14:paraId="5781B2C5" w14:textId="77777777" w:rsidR="00444528" w:rsidRPr="00444528" w:rsidRDefault="00444528" w:rsidP="00444528">
      <w:pPr>
        <w:numPr>
          <w:ilvl w:val="0"/>
          <w:numId w:val="4"/>
        </w:numPr>
        <w:spacing w:after="0" w:line="240" w:lineRule="auto"/>
        <w:ind w:left="495"/>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Understanding a specific subject matter and the application of the relevant ISSAIs</w:t>
      </w:r>
    </w:p>
    <w:p w14:paraId="25B41300" w14:textId="77777777" w:rsidR="00444528" w:rsidRPr="00444528" w:rsidRDefault="00444528" w:rsidP="00444528">
      <w:pPr>
        <w:spacing w:before="100" w:beforeAutospacing="1" w:after="100" w:afterAutospacing="1" w:line="240" w:lineRule="auto"/>
        <w:textAlignment w:val="baseline"/>
        <w:outlineLvl w:val="4"/>
        <w:rPr>
          <w:rFonts w:ascii="inherit" w:eastAsia="Times New Roman" w:hAnsi="inherit" w:cs="Times New Roman"/>
          <w:sz w:val="20"/>
          <w:szCs w:val="20"/>
        </w:rPr>
      </w:pPr>
      <w:r w:rsidRPr="00444528">
        <w:rPr>
          <w:rFonts w:ascii="inherit" w:eastAsia="Times New Roman" w:hAnsi="inherit" w:cs="Times New Roman"/>
          <w:sz w:val="20"/>
          <w:szCs w:val="20"/>
        </w:rPr>
        <w:t>Find out how the IFPP replaces the former ISSAI framework (download a PDF chart):</w:t>
      </w:r>
    </w:p>
    <w:p w14:paraId="08499BE7" w14:textId="77777777" w:rsidR="00444528" w:rsidRPr="00444528" w:rsidRDefault="00444528" w:rsidP="00444528">
      <w:pPr>
        <w:spacing w:beforeAutospacing="1" w:after="0" w:afterAutospacing="1" w:line="240" w:lineRule="auto"/>
        <w:textAlignment w:val="baseline"/>
        <w:rPr>
          <w:rFonts w:ascii="Times New Roman" w:eastAsia="Times New Roman" w:hAnsi="Times New Roman" w:cs="Times New Roman"/>
          <w:sz w:val="24"/>
          <w:szCs w:val="24"/>
        </w:rPr>
      </w:pPr>
      <w:hyperlink r:id="rId14" w:history="1">
        <w:r w:rsidRPr="00444528">
          <w:rPr>
            <w:rFonts w:ascii="Times New Roman" w:eastAsia="Times New Roman" w:hAnsi="Times New Roman" w:cs="Times New Roman"/>
            <w:color w:val="007BFF"/>
            <w:sz w:val="24"/>
            <w:szCs w:val="24"/>
            <w:u w:val="single"/>
            <w:bdr w:val="none" w:sz="0" w:space="0" w:color="auto" w:frame="1"/>
          </w:rPr>
          <w:t>English</w:t>
        </w:r>
      </w:hyperlink>
      <w:r w:rsidRPr="00444528">
        <w:rPr>
          <w:rFonts w:ascii="Times New Roman" w:eastAsia="Times New Roman" w:hAnsi="Times New Roman" w:cs="Times New Roman"/>
          <w:sz w:val="24"/>
          <w:szCs w:val="24"/>
        </w:rPr>
        <w:t>    </w:t>
      </w:r>
      <w:hyperlink r:id="rId15" w:history="1">
        <w:r w:rsidRPr="00444528">
          <w:rPr>
            <w:rFonts w:ascii="Times New Roman" w:eastAsia="Times New Roman" w:hAnsi="Times New Roman" w:cs="Times New Roman"/>
            <w:color w:val="007BFF"/>
            <w:sz w:val="24"/>
            <w:szCs w:val="24"/>
            <w:u w:val="single"/>
            <w:bdr w:val="none" w:sz="0" w:space="0" w:color="auto" w:frame="1"/>
          </w:rPr>
          <w:t>French</w:t>
        </w:r>
      </w:hyperlink>
      <w:r w:rsidRPr="00444528">
        <w:rPr>
          <w:rFonts w:ascii="Times New Roman" w:eastAsia="Times New Roman" w:hAnsi="Times New Roman" w:cs="Times New Roman"/>
          <w:sz w:val="24"/>
          <w:szCs w:val="24"/>
        </w:rPr>
        <w:t>    </w:t>
      </w:r>
      <w:hyperlink r:id="rId16" w:history="1">
        <w:r w:rsidRPr="00444528">
          <w:rPr>
            <w:rFonts w:ascii="Times New Roman" w:eastAsia="Times New Roman" w:hAnsi="Times New Roman" w:cs="Times New Roman"/>
            <w:color w:val="007BFF"/>
            <w:sz w:val="24"/>
            <w:szCs w:val="24"/>
            <w:u w:val="single"/>
            <w:bdr w:val="none" w:sz="0" w:space="0" w:color="auto" w:frame="1"/>
          </w:rPr>
          <w:t>German</w:t>
        </w:r>
      </w:hyperlink>
      <w:r w:rsidRPr="00444528">
        <w:rPr>
          <w:rFonts w:ascii="Times New Roman" w:eastAsia="Times New Roman" w:hAnsi="Times New Roman" w:cs="Times New Roman"/>
          <w:sz w:val="24"/>
          <w:szCs w:val="24"/>
        </w:rPr>
        <w:t>     </w:t>
      </w:r>
      <w:hyperlink r:id="rId17" w:history="1">
        <w:r w:rsidRPr="00444528">
          <w:rPr>
            <w:rFonts w:ascii="Times New Roman" w:eastAsia="Times New Roman" w:hAnsi="Times New Roman" w:cs="Times New Roman"/>
            <w:color w:val="007BFF"/>
            <w:sz w:val="24"/>
            <w:szCs w:val="24"/>
            <w:u w:val="single"/>
            <w:bdr w:val="none" w:sz="0" w:space="0" w:color="auto" w:frame="1"/>
          </w:rPr>
          <w:t>Spanish</w:t>
        </w:r>
      </w:hyperlink>
      <w:r w:rsidRPr="00444528">
        <w:rPr>
          <w:rFonts w:ascii="Times New Roman" w:eastAsia="Times New Roman" w:hAnsi="Times New Roman" w:cs="Times New Roman"/>
          <w:sz w:val="24"/>
          <w:szCs w:val="24"/>
        </w:rPr>
        <w:t>     (Arabic soon!)</w:t>
      </w:r>
    </w:p>
    <w:p w14:paraId="0AEEA98A" w14:textId="77777777" w:rsidR="00444528" w:rsidRPr="00444528" w:rsidRDefault="00444528" w:rsidP="00444528">
      <w:pPr>
        <w:spacing w:beforeAutospacing="1" w:after="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A number of pronouncements are currently under review and can be accessed </w:t>
      </w:r>
      <w:hyperlink r:id="rId18" w:history="1">
        <w:r w:rsidRPr="00444528">
          <w:rPr>
            <w:rFonts w:ascii="Times New Roman" w:eastAsia="Times New Roman" w:hAnsi="Times New Roman" w:cs="Times New Roman"/>
            <w:color w:val="007BFF"/>
            <w:sz w:val="24"/>
            <w:szCs w:val="24"/>
            <w:u w:val="single"/>
            <w:bdr w:val="none" w:sz="0" w:space="0" w:color="auto" w:frame="1"/>
          </w:rPr>
          <w:t>here</w:t>
        </w:r>
      </w:hyperlink>
      <w:r w:rsidRPr="00444528">
        <w:rPr>
          <w:rFonts w:ascii="Times New Roman" w:eastAsia="Times New Roman" w:hAnsi="Times New Roman" w:cs="Times New Roman"/>
          <w:sz w:val="24"/>
          <w:szCs w:val="24"/>
        </w:rPr>
        <w:t>.</w:t>
      </w:r>
    </w:p>
    <w:p w14:paraId="00EAC497"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 </w:t>
      </w:r>
    </w:p>
    <w:p w14:paraId="498483D6" w14:textId="77777777" w:rsidR="00444528" w:rsidRPr="00444528" w:rsidRDefault="00444528" w:rsidP="00444528">
      <w:pPr>
        <w:spacing w:before="100" w:beforeAutospacing="1" w:after="100" w:afterAutospacing="1" w:line="240" w:lineRule="auto"/>
        <w:textAlignment w:val="baseline"/>
        <w:outlineLvl w:val="4"/>
        <w:rPr>
          <w:rFonts w:ascii="inherit" w:eastAsia="Times New Roman" w:hAnsi="inherit" w:cs="Times New Roman"/>
          <w:sz w:val="20"/>
          <w:szCs w:val="20"/>
        </w:rPr>
      </w:pPr>
      <w:r w:rsidRPr="00444528">
        <w:rPr>
          <w:rFonts w:ascii="inherit" w:eastAsia="Times New Roman" w:hAnsi="inherit" w:cs="Times New Roman"/>
          <w:sz w:val="20"/>
          <w:szCs w:val="20"/>
        </w:rPr>
        <w:t>Clarification on ISSAI 2200-2999 Financial Auditing Standards (formerly the ISSAI1200-1999 series)</w:t>
      </w:r>
    </w:p>
    <w:p w14:paraId="7BC27E4F" w14:textId="77777777" w:rsidR="00444528" w:rsidRPr="00444528" w:rsidRDefault="00444528" w:rsidP="00444528">
      <w:pPr>
        <w:spacing w:beforeAutospacing="1" w:after="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INTOSAI has adopted a dual approach when it comes to the development of audit guidance in the public sector. Either we develop our own standards building on material from other standard-setting bodies after adapting the principals involved for a public sector perspective, or where relevant we use the standards of other bodies directly. Financial Auditing Standards can be accessed directly at the International Auditing and Assurance Standards Board (</w:t>
      </w:r>
      <w:hyperlink r:id="rId19" w:history="1">
        <w:r w:rsidRPr="00444528">
          <w:rPr>
            <w:rFonts w:ascii="Times New Roman" w:eastAsia="Times New Roman" w:hAnsi="Times New Roman" w:cs="Times New Roman"/>
            <w:color w:val="007BFF"/>
            <w:sz w:val="24"/>
            <w:szCs w:val="24"/>
            <w:u w:val="single"/>
            <w:bdr w:val="none" w:sz="0" w:space="0" w:color="auto" w:frame="1"/>
          </w:rPr>
          <w:t>IAASB</w:t>
        </w:r>
      </w:hyperlink>
      <w:r w:rsidRPr="00444528">
        <w:rPr>
          <w:rFonts w:ascii="Times New Roman" w:eastAsia="Times New Roman" w:hAnsi="Times New Roman" w:cs="Times New Roman"/>
          <w:sz w:val="24"/>
          <w:szCs w:val="24"/>
        </w:rPr>
        <w:t>) website free of charge. Please see </w:t>
      </w:r>
      <w:hyperlink r:id="rId20" w:history="1">
        <w:r w:rsidRPr="00444528">
          <w:rPr>
            <w:rFonts w:ascii="Times New Roman" w:eastAsia="Times New Roman" w:hAnsi="Times New Roman" w:cs="Times New Roman"/>
            <w:color w:val="007BFF"/>
            <w:sz w:val="24"/>
            <w:szCs w:val="24"/>
            <w:u w:val="single"/>
            <w:bdr w:val="none" w:sz="0" w:space="0" w:color="auto" w:frame="1"/>
          </w:rPr>
          <w:t>here</w:t>
        </w:r>
      </w:hyperlink>
      <w:r w:rsidRPr="00444528">
        <w:rPr>
          <w:rFonts w:ascii="Times New Roman" w:eastAsia="Times New Roman" w:hAnsi="Times New Roman" w:cs="Times New Roman"/>
          <w:sz w:val="24"/>
          <w:szCs w:val="24"/>
        </w:rPr>
        <w:t> how to access the standards.</w:t>
      </w:r>
    </w:p>
    <w:p w14:paraId="6F7492A2"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Financial Auditing Standards will continue to be numbered individually in the IFPP, but the ISSAI-numbers 2200-2999 will be used instead of the 1200-1999 series. This means that the numbering in the range ISSAI 2200-2810 will follow the principle that the International Standards on Auditing (ISA) no. xxx is included as ISSAI 2xxx in the IFPP.</w:t>
      </w:r>
    </w:p>
    <w:p w14:paraId="662A4D75" w14:textId="77777777" w:rsidR="00444528" w:rsidRPr="00444528" w:rsidRDefault="00444528" w:rsidP="00444528">
      <w:pPr>
        <w:pBdr>
          <w:left w:val="single" w:sz="24" w:space="11" w:color="797979"/>
        </w:pBdr>
        <w:spacing w:before="100" w:beforeAutospacing="1" w:after="100" w:afterAutospacing="1" w:line="240" w:lineRule="auto"/>
        <w:textAlignment w:val="baseline"/>
        <w:outlineLvl w:val="1"/>
        <w:rPr>
          <w:rFonts w:ascii="Roboto" w:eastAsia="Times New Roman" w:hAnsi="Roboto" w:cs="Times New Roman"/>
          <w:color w:val="333333"/>
          <w:sz w:val="36"/>
          <w:szCs w:val="36"/>
        </w:rPr>
      </w:pPr>
      <w:r w:rsidRPr="00444528">
        <w:rPr>
          <w:rFonts w:ascii="Roboto" w:eastAsia="Times New Roman" w:hAnsi="Roboto" w:cs="Times New Roman"/>
          <w:color w:val="333333"/>
          <w:sz w:val="36"/>
          <w:szCs w:val="36"/>
        </w:rPr>
        <w:t>INTOSAI Standard setting process</w:t>
      </w:r>
    </w:p>
    <w:p w14:paraId="7FEA5E09" w14:textId="77777777"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The Due Process for the IFPP establishes the procedures to develop, revise and withdraw professional pronouncements. The process starts with a project proposal.</w:t>
      </w:r>
    </w:p>
    <w:p w14:paraId="5D268BFC" w14:textId="77777777" w:rsidR="00444528" w:rsidRPr="00444528" w:rsidRDefault="00444528" w:rsidP="00444528">
      <w:pPr>
        <w:spacing w:beforeAutospacing="1" w:after="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sz w:val="24"/>
          <w:szCs w:val="24"/>
        </w:rPr>
        <w:t xml:space="preserve">All intended projects must be included in the Strategic Development Plan (SDP) for that period. The SDP is developed in consultation with Supreme Audit Institutions, INTOSAI working </w:t>
      </w:r>
      <w:r w:rsidRPr="00444528">
        <w:rPr>
          <w:rFonts w:ascii="Times New Roman" w:eastAsia="Times New Roman" w:hAnsi="Times New Roman" w:cs="Times New Roman"/>
          <w:sz w:val="24"/>
          <w:szCs w:val="24"/>
        </w:rPr>
        <w:lastRenderedPageBreak/>
        <w:t>bodies and external stakeholders. The INTOSAI Governing Board endorses the SDP. It is launched at the triennial Congress of the Supreme Audit Institutions. More about the Forum for INTOSAI Professional Pronouncements, visit their website </w:t>
      </w:r>
      <w:hyperlink r:id="rId21" w:history="1">
        <w:r w:rsidRPr="00444528">
          <w:rPr>
            <w:rFonts w:ascii="Times New Roman" w:eastAsia="Times New Roman" w:hAnsi="Times New Roman" w:cs="Times New Roman"/>
            <w:color w:val="007BFF"/>
            <w:sz w:val="24"/>
            <w:szCs w:val="24"/>
            <w:u w:val="single"/>
            <w:bdr w:val="none" w:sz="0" w:space="0" w:color="auto" w:frame="1"/>
          </w:rPr>
          <w:t>www.intosaifipp.org</w:t>
        </w:r>
      </w:hyperlink>
    </w:p>
    <w:p w14:paraId="2AD5212F" w14:textId="119415E4" w:rsidR="00444528" w:rsidRPr="00444528" w:rsidRDefault="00444528" w:rsidP="00444528">
      <w:pPr>
        <w:spacing w:before="100" w:beforeAutospacing="1" w:after="100" w:afterAutospacing="1"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noProof/>
          <w:sz w:val="24"/>
          <w:szCs w:val="24"/>
        </w:rPr>
        <w:drawing>
          <wp:inline distT="0" distB="0" distL="0" distR="0" wp14:anchorId="75214F86" wp14:editId="734AA475">
            <wp:extent cx="5943600" cy="4666615"/>
            <wp:effectExtent l="0" t="0" r="0" b="635"/>
            <wp:docPr id="3" name="Picture 3" descr="Image of the Due Process for INTOSAI Standard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f the Due Process for INTOSAI Standard Sett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66615"/>
                    </a:xfrm>
                    <a:prstGeom prst="rect">
                      <a:avLst/>
                    </a:prstGeom>
                    <a:noFill/>
                    <a:ln>
                      <a:noFill/>
                    </a:ln>
                  </pic:spPr>
                </pic:pic>
              </a:graphicData>
            </a:graphic>
          </wp:inline>
        </w:drawing>
      </w:r>
    </w:p>
    <w:p w14:paraId="4D66CB5C" w14:textId="77777777" w:rsidR="00444528" w:rsidRPr="00444528" w:rsidRDefault="00444528" w:rsidP="00444528">
      <w:pPr>
        <w:spacing w:beforeAutospacing="1" w:after="0" w:afterAutospacing="1" w:line="240" w:lineRule="auto"/>
        <w:jc w:val="center"/>
        <w:textAlignment w:val="baseline"/>
        <w:outlineLvl w:val="4"/>
        <w:rPr>
          <w:rFonts w:ascii="inherit" w:eastAsia="Times New Roman" w:hAnsi="inherit" w:cs="Times New Roman"/>
          <w:sz w:val="20"/>
          <w:szCs w:val="20"/>
        </w:rPr>
      </w:pPr>
      <w:hyperlink r:id="rId23" w:history="1">
        <w:r w:rsidRPr="00444528">
          <w:rPr>
            <w:rFonts w:ascii="inherit" w:eastAsia="Times New Roman" w:hAnsi="inherit" w:cs="Times New Roman"/>
            <w:color w:val="007BFF"/>
            <w:sz w:val="20"/>
            <w:szCs w:val="20"/>
            <w:u w:val="single"/>
            <w:bdr w:val="none" w:sz="0" w:space="0" w:color="auto" w:frame="1"/>
          </w:rPr>
          <w:t>Click here to see a short video about the Due Process for INTOSAI Professional Pronouncements</w:t>
        </w:r>
      </w:hyperlink>
    </w:p>
    <w:p w14:paraId="7B94669A" w14:textId="6DC1B93A" w:rsidR="00444528" w:rsidRPr="00444528" w:rsidRDefault="00444528" w:rsidP="00444528">
      <w:pPr>
        <w:spacing w:after="0"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noProof/>
          <w:color w:val="007BFF"/>
          <w:sz w:val="24"/>
          <w:szCs w:val="24"/>
          <w:bdr w:val="none" w:sz="0" w:space="0" w:color="auto" w:frame="1"/>
        </w:rPr>
        <w:lastRenderedPageBreak/>
        <w:drawing>
          <wp:inline distT="0" distB="0" distL="0" distR="0" wp14:anchorId="19F4C93C" wp14:editId="48833CD6">
            <wp:extent cx="2573020" cy="2477135"/>
            <wp:effectExtent l="0" t="0" r="0" b="0"/>
            <wp:docPr id="2" name="Picture 2" descr="Intosai">
              <a:hlinkClick xmlns:a="http://schemas.openxmlformats.org/drawingml/2006/main" r:id="rId24" tgtFrame="&quot;_blank&quot;" tooltip="&quot;Intosa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osai">
                      <a:hlinkClick r:id="rId24" tgtFrame="&quot;_blank&quot;" tooltip="&quot;Intosai&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3020" cy="2477135"/>
                    </a:xfrm>
                    <a:prstGeom prst="rect">
                      <a:avLst/>
                    </a:prstGeom>
                    <a:noFill/>
                    <a:ln>
                      <a:noFill/>
                    </a:ln>
                  </pic:spPr>
                </pic:pic>
              </a:graphicData>
            </a:graphic>
          </wp:inline>
        </w:drawing>
      </w:r>
    </w:p>
    <w:p w14:paraId="07312E84" w14:textId="77777777" w:rsidR="00444528" w:rsidRPr="00444528" w:rsidRDefault="00444528" w:rsidP="00444528">
      <w:pPr>
        <w:spacing w:beforeAutospacing="1" w:after="0" w:afterAutospacing="1" w:line="240" w:lineRule="auto"/>
        <w:textAlignment w:val="baseline"/>
        <w:rPr>
          <w:rFonts w:ascii="inherit" w:eastAsia="Times New Roman" w:hAnsi="inherit" w:cs="Times New Roman"/>
          <w:sz w:val="18"/>
          <w:szCs w:val="18"/>
        </w:rPr>
      </w:pPr>
      <w:r w:rsidRPr="00444528">
        <w:rPr>
          <w:rFonts w:ascii="inherit" w:eastAsia="Times New Roman" w:hAnsi="inherit" w:cs="Times New Roman"/>
          <w:b/>
          <w:bCs/>
          <w:sz w:val="18"/>
          <w:szCs w:val="18"/>
          <w:bdr w:val="none" w:sz="0" w:space="0" w:color="auto" w:frame="1"/>
        </w:rPr>
        <w:t>MISSION:</w:t>
      </w:r>
      <w:r w:rsidRPr="00444528">
        <w:rPr>
          <w:rFonts w:ascii="inherit" w:eastAsia="Times New Roman" w:hAnsi="inherit" w:cs="Times New Roman"/>
          <w:sz w:val="18"/>
          <w:szCs w:val="18"/>
        </w:rPr>
        <w:t xml:space="preserve"> The International </w:t>
      </w:r>
      <w:proofErr w:type="spellStart"/>
      <w:r w:rsidRPr="00444528">
        <w:rPr>
          <w:rFonts w:ascii="inherit" w:eastAsia="Times New Roman" w:hAnsi="inherit" w:cs="Times New Roman"/>
          <w:sz w:val="18"/>
          <w:szCs w:val="18"/>
        </w:rPr>
        <w:t>Organisation</w:t>
      </w:r>
      <w:proofErr w:type="spellEnd"/>
      <w:r w:rsidRPr="00444528">
        <w:rPr>
          <w:rFonts w:ascii="inherit" w:eastAsia="Times New Roman" w:hAnsi="inherit" w:cs="Times New Roman"/>
          <w:sz w:val="18"/>
          <w:szCs w:val="18"/>
        </w:rPr>
        <w:t xml:space="preserve"> of Supreme Audit Institutions - INTOSAI - is an autonomous, independent, professional, and nonpolitical organization established to provide mutual support; foster the exchange of ideas, knowledge, and experiences; act as a recognized voice of SAIs within the international community; provide high quality auditing standards for the public sector; promote good governance; and foster SAI capacity development and continuous performance improvement.</w:t>
      </w:r>
    </w:p>
    <w:p w14:paraId="04D22824" w14:textId="0B5C44EB" w:rsidR="00444528" w:rsidRPr="00444528" w:rsidRDefault="00444528" w:rsidP="00444528">
      <w:pPr>
        <w:spacing w:line="240" w:lineRule="auto"/>
        <w:textAlignment w:val="baseline"/>
        <w:rPr>
          <w:rFonts w:ascii="inherit" w:eastAsia="Times New Roman" w:hAnsi="inherit" w:cs="Times New Roman"/>
          <w:sz w:val="18"/>
          <w:szCs w:val="18"/>
        </w:rPr>
      </w:pPr>
      <w:r w:rsidRPr="00444528">
        <w:rPr>
          <w:rFonts w:ascii="inherit" w:eastAsia="Times New Roman" w:hAnsi="inherit" w:cs="Times New Roman"/>
          <w:b/>
          <w:bCs/>
          <w:sz w:val="18"/>
          <w:szCs w:val="18"/>
          <w:bdr w:val="none" w:sz="0" w:space="0" w:color="auto" w:frame="1"/>
        </w:rPr>
        <w:t>VISION:</w:t>
      </w:r>
      <w:r w:rsidR="006A1AFB">
        <w:rPr>
          <w:rFonts w:ascii="inherit" w:eastAsia="Times New Roman" w:hAnsi="inherit" w:cs="Times New Roman"/>
          <w:b/>
          <w:bCs/>
          <w:sz w:val="18"/>
          <w:szCs w:val="18"/>
          <w:bdr w:val="none" w:sz="0" w:space="0" w:color="auto" w:frame="1"/>
        </w:rPr>
        <w:t xml:space="preserve"> </w:t>
      </w:r>
      <w:r w:rsidRPr="00444528">
        <w:rPr>
          <w:rFonts w:ascii="inherit" w:eastAsia="Times New Roman" w:hAnsi="inherit" w:cs="Times New Roman"/>
          <w:sz w:val="18"/>
          <w:szCs w:val="18"/>
        </w:rPr>
        <w:t>Promote good governance by enabling SAIs to help their respective governments improve performance, enhance transparency, ensure accountability, maintain credibility, fight corruption, promote public trust, and foster the efficient and effective receipt and use of public resources for the benefit of their citizens.</w:t>
      </w:r>
    </w:p>
    <w:p w14:paraId="0D5AAAAC" w14:textId="781900A0" w:rsidR="00444528" w:rsidRPr="00444528" w:rsidRDefault="00444528" w:rsidP="00444528">
      <w:pPr>
        <w:spacing w:after="0" w:line="240" w:lineRule="auto"/>
        <w:textAlignment w:val="baseline"/>
        <w:rPr>
          <w:rFonts w:ascii="Times New Roman" w:eastAsia="Times New Roman" w:hAnsi="Times New Roman" w:cs="Times New Roman"/>
          <w:sz w:val="24"/>
          <w:szCs w:val="24"/>
        </w:rPr>
      </w:pPr>
      <w:r w:rsidRPr="00444528">
        <w:rPr>
          <w:rFonts w:ascii="Times New Roman" w:eastAsia="Times New Roman" w:hAnsi="Times New Roman" w:cs="Times New Roman"/>
          <w:noProof/>
          <w:color w:val="007BFF"/>
          <w:sz w:val="24"/>
          <w:szCs w:val="24"/>
          <w:bdr w:val="none" w:sz="0" w:space="0" w:color="auto" w:frame="1"/>
        </w:rPr>
        <w:drawing>
          <wp:inline distT="0" distB="0" distL="0" distR="0" wp14:anchorId="5ED8B885" wp14:editId="5AAE9F10">
            <wp:extent cx="5060950" cy="2211705"/>
            <wp:effectExtent l="0" t="0" r="6350" b="0"/>
            <wp:docPr id="1" name="Picture 1" descr="PSC">
              <a:hlinkClick xmlns:a="http://schemas.openxmlformats.org/drawingml/2006/main" r:id="rId26" tgtFrame="&quot;_blank&quot;" tooltip="&quot;PS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C">
                      <a:hlinkClick r:id="rId26" tgtFrame="&quot;_blank&quot;" tooltip="&quot;PSC&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0950" cy="2211705"/>
                    </a:xfrm>
                    <a:prstGeom prst="rect">
                      <a:avLst/>
                    </a:prstGeom>
                    <a:noFill/>
                    <a:ln>
                      <a:noFill/>
                    </a:ln>
                  </pic:spPr>
                </pic:pic>
              </a:graphicData>
            </a:graphic>
          </wp:inline>
        </w:drawing>
      </w:r>
    </w:p>
    <w:p w14:paraId="6A5247CC" w14:textId="77777777" w:rsidR="00444528" w:rsidRPr="00444528" w:rsidRDefault="00444528" w:rsidP="00444528">
      <w:pPr>
        <w:spacing w:line="240" w:lineRule="auto"/>
        <w:textAlignment w:val="baseline"/>
        <w:rPr>
          <w:rFonts w:ascii="inherit" w:eastAsia="Times New Roman" w:hAnsi="inherit" w:cs="Times New Roman"/>
          <w:sz w:val="18"/>
          <w:szCs w:val="18"/>
        </w:rPr>
      </w:pPr>
      <w:r w:rsidRPr="00444528">
        <w:rPr>
          <w:rFonts w:ascii="inherit" w:eastAsia="Times New Roman" w:hAnsi="inherit" w:cs="Times New Roman"/>
          <w:sz w:val="18"/>
          <w:szCs w:val="18"/>
        </w:rPr>
        <w:t>The Professional Standards Committee – PSC – is responsible for the overall coordination of INTOSAI standards setting process. Through its work, the PSC seeks to contribute to the development and adoption of INTOSAI pronouncements.</w:t>
      </w:r>
    </w:p>
    <w:p w14:paraId="7199499A" w14:textId="77777777" w:rsidR="00444528" w:rsidRPr="00444528" w:rsidRDefault="00444528" w:rsidP="00444528">
      <w:pPr>
        <w:spacing w:before="100" w:beforeAutospacing="1" w:after="100" w:afterAutospacing="1" w:line="240" w:lineRule="auto"/>
        <w:textAlignment w:val="baseline"/>
        <w:outlineLvl w:val="2"/>
        <w:rPr>
          <w:rFonts w:ascii="inherit" w:eastAsia="Times New Roman" w:hAnsi="inherit" w:cs="Times New Roman"/>
          <w:color w:val="333333"/>
          <w:sz w:val="30"/>
          <w:szCs w:val="30"/>
        </w:rPr>
      </w:pPr>
      <w:r w:rsidRPr="00444528">
        <w:rPr>
          <w:rFonts w:ascii="inherit" w:eastAsia="Times New Roman" w:hAnsi="inherit" w:cs="Times New Roman"/>
          <w:color w:val="333333"/>
          <w:sz w:val="30"/>
          <w:szCs w:val="30"/>
        </w:rPr>
        <w:t>Supporting documents</w:t>
      </w:r>
    </w:p>
    <w:p w14:paraId="20A999C0" w14:textId="77777777" w:rsidR="00444528" w:rsidRPr="00444528" w:rsidRDefault="00444528" w:rsidP="00444528">
      <w:pPr>
        <w:numPr>
          <w:ilvl w:val="0"/>
          <w:numId w:val="5"/>
        </w:numPr>
        <w:spacing w:after="0" w:line="240" w:lineRule="auto"/>
        <w:ind w:left="495"/>
        <w:textAlignment w:val="baseline"/>
        <w:rPr>
          <w:rFonts w:ascii="Times New Roman" w:eastAsia="Times New Roman" w:hAnsi="Times New Roman" w:cs="Times New Roman"/>
          <w:sz w:val="24"/>
          <w:szCs w:val="24"/>
        </w:rPr>
      </w:pPr>
      <w:hyperlink r:id="rId28" w:history="1">
        <w:r w:rsidRPr="00444528">
          <w:rPr>
            <w:rFonts w:ascii="Times New Roman" w:eastAsia="Times New Roman" w:hAnsi="Times New Roman" w:cs="Times New Roman"/>
            <w:color w:val="007BFF"/>
            <w:sz w:val="24"/>
            <w:szCs w:val="24"/>
            <w:u w:val="single"/>
            <w:bdr w:val="none" w:sz="0" w:space="0" w:color="auto" w:frame="1"/>
          </w:rPr>
          <w:t xml:space="preserve">Due </w:t>
        </w:r>
        <w:proofErr w:type="spellStart"/>
        <w:r w:rsidRPr="00444528">
          <w:rPr>
            <w:rFonts w:ascii="Times New Roman" w:eastAsia="Times New Roman" w:hAnsi="Times New Roman" w:cs="Times New Roman"/>
            <w:color w:val="007BFF"/>
            <w:sz w:val="24"/>
            <w:szCs w:val="24"/>
            <w:u w:val="single"/>
            <w:bdr w:val="none" w:sz="0" w:space="0" w:color="auto" w:frame="1"/>
          </w:rPr>
          <w:t>Process</w:t>
        </w:r>
      </w:hyperlink>
      <w:r w:rsidRPr="00444528">
        <w:rPr>
          <w:rFonts w:ascii="inherit" w:eastAsia="Times New Roman" w:hAnsi="inherit" w:cs="Times New Roman"/>
          <w:sz w:val="18"/>
          <w:szCs w:val="18"/>
          <w:bdr w:val="none" w:sz="0" w:space="0" w:color="auto" w:frame="1"/>
        </w:rPr>
        <w:t>PDF</w:t>
      </w:r>
      <w:proofErr w:type="spellEnd"/>
      <w:r w:rsidRPr="00444528">
        <w:rPr>
          <w:rFonts w:ascii="inherit" w:eastAsia="Times New Roman" w:hAnsi="inherit" w:cs="Times New Roman"/>
          <w:sz w:val="18"/>
          <w:szCs w:val="18"/>
          <w:bdr w:val="none" w:sz="0" w:space="0" w:color="auto" w:frame="1"/>
        </w:rPr>
        <w:t xml:space="preserve"> format –504 kb</w:t>
      </w:r>
    </w:p>
    <w:p w14:paraId="257C1785" w14:textId="77777777" w:rsidR="00444528" w:rsidRPr="00444528" w:rsidRDefault="00444528" w:rsidP="00444528">
      <w:pPr>
        <w:numPr>
          <w:ilvl w:val="0"/>
          <w:numId w:val="5"/>
        </w:numPr>
        <w:spacing w:after="0" w:line="240" w:lineRule="auto"/>
        <w:ind w:left="495"/>
        <w:textAlignment w:val="baseline"/>
        <w:rPr>
          <w:rFonts w:ascii="Times New Roman" w:eastAsia="Times New Roman" w:hAnsi="Times New Roman" w:cs="Times New Roman"/>
          <w:sz w:val="24"/>
          <w:szCs w:val="24"/>
        </w:rPr>
      </w:pPr>
      <w:hyperlink r:id="rId29" w:history="1">
        <w:r w:rsidRPr="00444528">
          <w:rPr>
            <w:rFonts w:ascii="Times New Roman" w:eastAsia="Times New Roman" w:hAnsi="Times New Roman" w:cs="Times New Roman"/>
            <w:color w:val="007BFF"/>
            <w:sz w:val="24"/>
            <w:szCs w:val="24"/>
            <w:u w:val="single"/>
            <w:bdr w:val="none" w:sz="0" w:space="0" w:color="auto" w:frame="1"/>
          </w:rPr>
          <w:t>Strategic Development Plan 2016-2019</w:t>
        </w:r>
      </w:hyperlink>
      <w:r w:rsidRPr="00444528">
        <w:rPr>
          <w:rFonts w:ascii="inherit" w:eastAsia="Times New Roman" w:hAnsi="inherit" w:cs="Times New Roman"/>
          <w:sz w:val="18"/>
          <w:szCs w:val="18"/>
          <w:bdr w:val="none" w:sz="0" w:space="0" w:color="auto" w:frame="1"/>
        </w:rPr>
        <w:t>PDF format – 2mb</w:t>
      </w:r>
    </w:p>
    <w:p w14:paraId="249F08B5" w14:textId="77777777" w:rsidR="00444528" w:rsidRPr="00444528" w:rsidRDefault="00444528" w:rsidP="00444528">
      <w:pPr>
        <w:numPr>
          <w:ilvl w:val="0"/>
          <w:numId w:val="5"/>
        </w:numPr>
        <w:spacing w:line="240" w:lineRule="auto"/>
        <w:ind w:left="495"/>
        <w:textAlignment w:val="baseline"/>
        <w:rPr>
          <w:rFonts w:ascii="Times New Roman" w:eastAsia="Times New Roman" w:hAnsi="Times New Roman" w:cs="Times New Roman"/>
          <w:sz w:val="24"/>
          <w:szCs w:val="24"/>
        </w:rPr>
      </w:pPr>
      <w:hyperlink r:id="rId30" w:history="1">
        <w:r w:rsidRPr="00444528">
          <w:rPr>
            <w:rFonts w:ascii="Times New Roman" w:eastAsia="Times New Roman" w:hAnsi="Times New Roman" w:cs="Times New Roman"/>
            <w:color w:val="007BFF"/>
            <w:sz w:val="24"/>
            <w:szCs w:val="24"/>
            <w:u w:val="single"/>
            <w:bdr w:val="none" w:sz="0" w:space="0" w:color="auto" w:frame="1"/>
          </w:rPr>
          <w:t>Strategic Development Plan 2020-2022</w:t>
        </w:r>
      </w:hyperlink>
      <w:r w:rsidRPr="00444528">
        <w:rPr>
          <w:rFonts w:ascii="inherit" w:eastAsia="Times New Roman" w:hAnsi="inherit" w:cs="Times New Roman"/>
          <w:sz w:val="18"/>
          <w:szCs w:val="18"/>
          <w:bdr w:val="none" w:sz="0" w:space="0" w:color="auto" w:frame="1"/>
        </w:rPr>
        <w:t>PDF format - 8mb</w:t>
      </w:r>
    </w:p>
    <w:p w14:paraId="524C1B4C" w14:textId="79088910" w:rsidR="000F05F7" w:rsidRDefault="00444528" w:rsidP="00444528">
      <w:pPr>
        <w:rPr>
          <w:rFonts w:ascii="Times New Roman" w:eastAsia="Times New Roman" w:hAnsi="Times New Roman" w:cs="Times New Roman"/>
          <w:sz w:val="24"/>
          <w:szCs w:val="24"/>
        </w:rPr>
      </w:pPr>
      <w:hyperlink r:id="rId31" w:history="1">
        <w:r w:rsidRPr="00444528">
          <w:rPr>
            <w:rFonts w:ascii="Raleway" w:eastAsia="Times New Roman" w:hAnsi="Raleway" w:cs="Times New Roman"/>
            <w:color w:val="007BFF"/>
            <w:sz w:val="24"/>
            <w:szCs w:val="24"/>
            <w:u w:val="single"/>
            <w:bdr w:val="none" w:sz="0" w:space="0" w:color="auto" w:frame="1"/>
            <w:shd w:val="clear" w:color="auto" w:fill="FFFFFF"/>
          </w:rPr>
          <w:t>Classification principles</w:t>
        </w:r>
      </w:hyperlink>
    </w:p>
    <w:p w14:paraId="2DF00FC8" w14:textId="575F6D40" w:rsidR="00444528" w:rsidRDefault="00444528" w:rsidP="0044452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2EF0CCA" w14:textId="77777777" w:rsidR="00444528" w:rsidRDefault="00444528" w:rsidP="00444528"/>
    <w:sectPr w:rsidR="00444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60DAA"/>
    <w:multiLevelType w:val="multilevel"/>
    <w:tmpl w:val="E36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F1C92"/>
    <w:multiLevelType w:val="multilevel"/>
    <w:tmpl w:val="A82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3428B"/>
    <w:multiLevelType w:val="multilevel"/>
    <w:tmpl w:val="3E8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148FF"/>
    <w:multiLevelType w:val="multilevel"/>
    <w:tmpl w:val="511E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1744F"/>
    <w:multiLevelType w:val="multilevel"/>
    <w:tmpl w:val="855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01B5"/>
    <w:rsid w:val="000F05F7"/>
    <w:rsid w:val="00150DF8"/>
    <w:rsid w:val="00444528"/>
    <w:rsid w:val="006A1AFB"/>
    <w:rsid w:val="007A7A12"/>
    <w:rsid w:val="00BF01B5"/>
    <w:rsid w:val="00C2757D"/>
    <w:rsid w:val="00C63974"/>
    <w:rsid w:val="00DA24C9"/>
    <w:rsid w:val="00E63519"/>
    <w:rsid w:val="00EA7A08"/>
    <w:rsid w:val="00F64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78A8"/>
  <w15:docId w15:val="{EC6AA685-5FD0-408D-9852-530FD550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45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45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45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44452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45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4528"/>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444528"/>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444528"/>
    <w:rPr>
      <w:color w:val="0000FF"/>
      <w:u w:val="single"/>
    </w:rPr>
  </w:style>
  <w:style w:type="paragraph" w:customStyle="1" w:styleId="menu-item">
    <w:name w:val="menu-item"/>
    <w:basedOn w:val="Normal"/>
    <w:rsid w:val="004445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445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4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351708">
      <w:bodyDiv w:val="1"/>
      <w:marLeft w:val="0"/>
      <w:marRight w:val="0"/>
      <w:marTop w:val="0"/>
      <w:marBottom w:val="0"/>
      <w:divBdr>
        <w:top w:val="none" w:sz="0" w:space="0" w:color="auto"/>
        <w:left w:val="none" w:sz="0" w:space="0" w:color="auto"/>
        <w:bottom w:val="none" w:sz="0" w:space="0" w:color="auto"/>
        <w:right w:val="none" w:sz="0" w:space="0" w:color="auto"/>
      </w:divBdr>
      <w:divsChild>
        <w:div w:id="462699000">
          <w:marLeft w:val="0"/>
          <w:marRight w:val="0"/>
          <w:marTop w:val="0"/>
          <w:marBottom w:val="0"/>
          <w:divBdr>
            <w:top w:val="none" w:sz="0" w:space="0" w:color="auto"/>
            <w:left w:val="none" w:sz="0" w:space="0" w:color="auto"/>
            <w:bottom w:val="none" w:sz="0" w:space="0" w:color="auto"/>
            <w:right w:val="none" w:sz="0" w:space="0" w:color="auto"/>
          </w:divBdr>
          <w:divsChild>
            <w:div w:id="1883059451">
              <w:marLeft w:val="0"/>
              <w:marRight w:val="0"/>
              <w:marTop w:val="0"/>
              <w:marBottom w:val="0"/>
              <w:divBdr>
                <w:top w:val="none" w:sz="0" w:space="0" w:color="auto"/>
                <w:left w:val="none" w:sz="0" w:space="0" w:color="auto"/>
                <w:bottom w:val="none" w:sz="0" w:space="0" w:color="auto"/>
                <w:right w:val="none" w:sz="0" w:space="0" w:color="auto"/>
              </w:divBdr>
              <w:divsChild>
                <w:div w:id="313266704">
                  <w:marLeft w:val="0"/>
                  <w:marRight w:val="0"/>
                  <w:marTop w:val="0"/>
                  <w:marBottom w:val="0"/>
                  <w:divBdr>
                    <w:top w:val="none" w:sz="0" w:space="0" w:color="auto"/>
                    <w:left w:val="none" w:sz="0" w:space="0" w:color="auto"/>
                    <w:bottom w:val="none" w:sz="0" w:space="0" w:color="auto"/>
                    <w:right w:val="none" w:sz="0" w:space="0" w:color="auto"/>
                  </w:divBdr>
                  <w:divsChild>
                    <w:div w:id="687635378">
                      <w:marLeft w:val="-225"/>
                      <w:marRight w:val="-225"/>
                      <w:marTop w:val="0"/>
                      <w:marBottom w:val="0"/>
                      <w:divBdr>
                        <w:top w:val="none" w:sz="0" w:space="0" w:color="auto"/>
                        <w:left w:val="none" w:sz="0" w:space="0" w:color="auto"/>
                        <w:bottom w:val="none" w:sz="0" w:space="0" w:color="auto"/>
                        <w:right w:val="none" w:sz="0" w:space="0" w:color="auto"/>
                      </w:divBdr>
                      <w:divsChild>
                        <w:div w:id="604340210">
                          <w:marLeft w:val="0"/>
                          <w:marRight w:val="0"/>
                          <w:marTop w:val="0"/>
                          <w:marBottom w:val="0"/>
                          <w:divBdr>
                            <w:top w:val="none" w:sz="0" w:space="0" w:color="auto"/>
                            <w:left w:val="none" w:sz="0" w:space="0" w:color="auto"/>
                            <w:bottom w:val="none" w:sz="0" w:space="0" w:color="auto"/>
                            <w:right w:val="none" w:sz="0" w:space="0" w:color="auto"/>
                          </w:divBdr>
                        </w:div>
                        <w:div w:id="655302079">
                          <w:marLeft w:val="0"/>
                          <w:marRight w:val="0"/>
                          <w:marTop w:val="0"/>
                          <w:marBottom w:val="0"/>
                          <w:divBdr>
                            <w:top w:val="none" w:sz="0" w:space="0" w:color="auto"/>
                            <w:left w:val="none" w:sz="0" w:space="0" w:color="auto"/>
                            <w:bottom w:val="none" w:sz="0" w:space="0" w:color="auto"/>
                            <w:right w:val="none" w:sz="0" w:space="0" w:color="auto"/>
                          </w:divBdr>
                          <w:divsChild>
                            <w:div w:id="304970169">
                              <w:marLeft w:val="0"/>
                              <w:marRight w:val="0"/>
                              <w:marTop w:val="0"/>
                              <w:marBottom w:val="300"/>
                              <w:divBdr>
                                <w:top w:val="none" w:sz="0" w:space="0" w:color="auto"/>
                                <w:left w:val="none" w:sz="0" w:space="0" w:color="auto"/>
                                <w:bottom w:val="none" w:sz="0" w:space="0" w:color="auto"/>
                                <w:right w:val="none" w:sz="0" w:space="0" w:color="auto"/>
                              </w:divBdr>
                            </w:div>
                            <w:div w:id="1295253605">
                              <w:marLeft w:val="0"/>
                              <w:marRight w:val="0"/>
                              <w:marTop w:val="0"/>
                              <w:marBottom w:val="300"/>
                              <w:divBdr>
                                <w:top w:val="none" w:sz="0" w:space="0" w:color="auto"/>
                                <w:left w:val="none" w:sz="0" w:space="0" w:color="auto"/>
                                <w:bottom w:val="none" w:sz="0" w:space="0" w:color="auto"/>
                                <w:right w:val="none" w:sz="0" w:space="0" w:color="auto"/>
                              </w:divBdr>
                            </w:div>
                            <w:div w:id="17323431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055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8708">
          <w:marLeft w:val="0"/>
          <w:marRight w:val="0"/>
          <w:marTop w:val="0"/>
          <w:marBottom w:val="0"/>
          <w:divBdr>
            <w:top w:val="none" w:sz="0" w:space="0" w:color="auto"/>
            <w:left w:val="none" w:sz="0" w:space="0" w:color="auto"/>
            <w:bottom w:val="none" w:sz="0" w:space="0" w:color="auto"/>
            <w:right w:val="none" w:sz="0" w:space="0" w:color="auto"/>
          </w:divBdr>
          <w:divsChild>
            <w:div w:id="641890719">
              <w:marLeft w:val="0"/>
              <w:marRight w:val="0"/>
              <w:marTop w:val="0"/>
              <w:marBottom w:val="0"/>
              <w:divBdr>
                <w:top w:val="none" w:sz="0" w:space="0" w:color="auto"/>
                <w:left w:val="none" w:sz="0" w:space="0" w:color="auto"/>
                <w:bottom w:val="none" w:sz="0" w:space="0" w:color="auto"/>
                <w:right w:val="none" w:sz="0" w:space="0" w:color="auto"/>
              </w:divBdr>
            </w:div>
            <w:div w:id="17119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ssai.org/" TargetMode="External"/><Relationship Id="rId18" Type="http://schemas.openxmlformats.org/officeDocument/2006/relationships/hyperlink" Target="https://www.issai.org/under-review" TargetMode="External"/><Relationship Id="rId26" Type="http://schemas.openxmlformats.org/officeDocument/2006/relationships/hyperlink" Target="http://www.psc-intosai.org/" TargetMode="External"/><Relationship Id="rId3" Type="http://schemas.openxmlformats.org/officeDocument/2006/relationships/settings" Target="settings.xml"/><Relationship Id="rId21" Type="http://schemas.openxmlformats.org/officeDocument/2006/relationships/hyperlink" Target="http://www.intosaifipp.org/" TargetMode="External"/><Relationship Id="rId7" Type="http://schemas.openxmlformats.org/officeDocument/2006/relationships/hyperlink" Target="https://www.issai.org/" TargetMode="External"/><Relationship Id="rId12" Type="http://schemas.openxmlformats.org/officeDocument/2006/relationships/hyperlink" Target="https://www.issai.org/contact/" TargetMode="External"/><Relationship Id="rId17" Type="http://schemas.openxmlformats.org/officeDocument/2006/relationships/hyperlink" Target="https://www.issai.org/wp-content/uploads/2021/05/site-ISSAI-Espa%C3%B1ol-correspondencia-de-las-normas-converted.pdf" TargetMode="Externa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ssai.org/wp-content/uploads/2021/05/site-ISSAI-Deutsch-entspricht-den-normen.pdf" TargetMode="External"/><Relationship Id="rId20" Type="http://schemas.openxmlformats.org/officeDocument/2006/relationships/hyperlink" Target="https://www.issai.org/where-to-find-the-financial-auditing-standars/" TargetMode="External"/><Relationship Id="rId29" Type="http://schemas.openxmlformats.org/officeDocument/2006/relationships/hyperlink" Target="https://www.issai.org/wp-content/uploads/2019/08/sdp_ifpp_2016.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issai.org/about/" TargetMode="External"/><Relationship Id="rId24" Type="http://schemas.openxmlformats.org/officeDocument/2006/relationships/hyperlink" Target="http://intosai.org/" TargetMode="External"/><Relationship Id="rId32" Type="http://schemas.openxmlformats.org/officeDocument/2006/relationships/fontTable" Target="fontTable.xml"/><Relationship Id="rId5" Type="http://schemas.openxmlformats.org/officeDocument/2006/relationships/hyperlink" Target="https://www.issai.org/" TargetMode="External"/><Relationship Id="rId15" Type="http://schemas.openxmlformats.org/officeDocument/2006/relationships/hyperlink" Target="https://www.issai.org/wp-content/uploads/2021/05/site-ISSAI-Fran%C3%A7ais-correspondence-des-normes.pdf" TargetMode="External"/><Relationship Id="rId23" Type="http://schemas.openxmlformats.org/officeDocument/2006/relationships/hyperlink" Target="https://www.youtube.com/watch?v=ZiMsKdN0l5A" TargetMode="External"/><Relationship Id="rId28" Type="http://schemas.openxmlformats.org/officeDocument/2006/relationships/hyperlink" Target="https://www.issai.org/wp-content/uploads/2019/08/due-process-2016-english.pdf" TargetMode="External"/><Relationship Id="rId10" Type="http://schemas.openxmlformats.org/officeDocument/2006/relationships/hyperlink" Target="https://www.issai.org/issai-in-action/" TargetMode="External"/><Relationship Id="rId19" Type="http://schemas.openxmlformats.org/officeDocument/2006/relationships/hyperlink" Target="https://www.iaasb.org/" TargetMode="External"/><Relationship Id="rId31" Type="http://schemas.openxmlformats.org/officeDocument/2006/relationships/hyperlink" Target="https://www.issai.org/wp-content/uploads/2022/08/IFPP-classification-principles-2020.pdf" TargetMode="External"/><Relationship Id="rId4" Type="http://schemas.openxmlformats.org/officeDocument/2006/relationships/webSettings" Target="webSettings.xml"/><Relationship Id="rId9" Type="http://schemas.openxmlformats.org/officeDocument/2006/relationships/hyperlink" Target="https://www.issai.org/standards-in-setting/" TargetMode="External"/><Relationship Id="rId14" Type="http://schemas.openxmlformats.org/officeDocument/2006/relationships/hyperlink" Target="https://www.issai.org/wp-content/uploads/2021/02/site-ISSAI-English-comparision-of-the-norms.pdf" TargetMode="External"/><Relationship Id="rId22" Type="http://schemas.openxmlformats.org/officeDocument/2006/relationships/image" Target="media/image2.jpeg"/><Relationship Id="rId27" Type="http://schemas.openxmlformats.org/officeDocument/2006/relationships/image" Target="media/image4.png"/><Relationship Id="rId30" Type="http://schemas.openxmlformats.org/officeDocument/2006/relationships/hyperlink" Target="https://www.issai.org/wp-content/uploads/2019/10/2_SDP-FINAL.pdf" TargetMode="External"/><Relationship Id="rId8" Type="http://schemas.openxmlformats.org/officeDocument/2006/relationships/hyperlink" Target="https://www.issai.org/professional-pronounc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5</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2026-02-27T09:35:00Z</cp:lastPrinted>
  <dcterms:created xsi:type="dcterms:W3CDTF">2026-02-27T09:31:00Z</dcterms:created>
  <dcterms:modified xsi:type="dcterms:W3CDTF">2026-03-03T08:10:00Z</dcterms:modified>
</cp:coreProperties>
</file>