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7FA4" w14:textId="77777777" w:rsidR="009D560B" w:rsidRPr="004F4398" w:rsidRDefault="009D560B" w:rsidP="009D560B">
      <w:pPr>
        <w:tabs>
          <w:tab w:val="left" w:pos="450"/>
        </w:tabs>
        <w:ind w:left="90"/>
        <w:rPr>
          <w:rFonts w:ascii="Times New Roman" w:hAnsi="Times New Roman"/>
          <w:b/>
          <w:color w:val="305250"/>
        </w:rPr>
      </w:pPr>
      <w:r w:rsidRPr="004F4398">
        <w:rPr>
          <w:rFonts w:ascii="Times New Roman" w:hAnsi="Times New Roman"/>
          <w:b/>
          <w:color w:val="305250"/>
        </w:rPr>
        <w:t xml:space="preserve">ANNEX TO THE REPORT: </w:t>
      </w:r>
    </w:p>
    <w:p w14:paraId="0F267FB6" w14:textId="77777777" w:rsidR="009D560B" w:rsidRPr="004F4398" w:rsidRDefault="009D560B" w:rsidP="009D560B">
      <w:pPr>
        <w:pStyle w:val="ListParagraph"/>
        <w:numPr>
          <w:ilvl w:val="0"/>
          <w:numId w:val="4"/>
        </w:numPr>
        <w:spacing w:after="0" w:line="240" w:lineRule="auto"/>
        <w:ind w:left="810" w:hanging="360"/>
        <w:contextualSpacing w:val="0"/>
        <w:jc w:val="both"/>
        <w:rPr>
          <w:rFonts w:ascii="Times New Roman" w:hAnsi="Times New Roman"/>
          <w:b/>
          <w:sz w:val="24"/>
          <w:szCs w:val="24"/>
        </w:rPr>
      </w:pPr>
      <w:r w:rsidRPr="004F4398">
        <w:rPr>
          <w:rFonts w:ascii="Times New Roman" w:hAnsi="Times New Roman"/>
          <w:b/>
          <w:sz w:val="24"/>
          <w:szCs w:val="24"/>
        </w:rPr>
        <w:t xml:space="preserve">The methodology used for the financial analysis performed at the Appeal Chamber, </w:t>
      </w:r>
    </w:p>
    <w:p w14:paraId="52FE2762" w14:textId="77777777" w:rsidR="009D560B" w:rsidRPr="004F4398" w:rsidRDefault="009D560B" w:rsidP="009D560B">
      <w:pPr>
        <w:pStyle w:val="ListParagraph"/>
        <w:numPr>
          <w:ilvl w:val="0"/>
          <w:numId w:val="4"/>
        </w:numPr>
        <w:tabs>
          <w:tab w:val="left" w:pos="3060"/>
        </w:tabs>
        <w:spacing w:after="0" w:line="240" w:lineRule="auto"/>
        <w:ind w:left="810" w:hanging="360"/>
        <w:contextualSpacing w:val="0"/>
        <w:jc w:val="both"/>
        <w:rPr>
          <w:rFonts w:ascii="Times New Roman" w:hAnsi="Times New Roman"/>
          <w:b/>
          <w:sz w:val="24"/>
          <w:szCs w:val="24"/>
        </w:rPr>
      </w:pPr>
      <w:r w:rsidRPr="004F4398">
        <w:rPr>
          <w:rFonts w:ascii="Times New Roman" w:hAnsi="Times New Roman"/>
          <w:b/>
          <w:color w:val="000000"/>
          <w:sz w:val="24"/>
          <w:szCs w:val="24"/>
        </w:rPr>
        <w:t>Sources of data used for the calculations,</w:t>
      </w:r>
    </w:p>
    <w:p w14:paraId="7B39B244" w14:textId="77777777" w:rsidR="009D560B" w:rsidRPr="004F4398" w:rsidRDefault="009D560B" w:rsidP="009D560B">
      <w:pPr>
        <w:pStyle w:val="ListParagraph"/>
        <w:numPr>
          <w:ilvl w:val="0"/>
          <w:numId w:val="3"/>
        </w:numPr>
        <w:tabs>
          <w:tab w:val="left" w:pos="630"/>
          <w:tab w:val="left" w:pos="900"/>
        </w:tabs>
        <w:spacing w:before="240" w:after="60" w:line="240" w:lineRule="auto"/>
        <w:ind w:left="417" w:hanging="331"/>
        <w:contextualSpacing w:val="0"/>
        <w:jc w:val="both"/>
        <w:rPr>
          <w:rFonts w:ascii="Times New Roman" w:hAnsi="Times New Roman"/>
          <w:b/>
          <w:color w:val="000000"/>
          <w:sz w:val="24"/>
          <w:szCs w:val="24"/>
        </w:rPr>
      </w:pPr>
      <w:r w:rsidRPr="004F4398">
        <w:rPr>
          <w:rFonts w:ascii="Times New Roman" w:hAnsi="Times New Roman"/>
          <w:b/>
          <w:color w:val="000000"/>
          <w:sz w:val="24"/>
          <w:szCs w:val="24"/>
        </w:rPr>
        <w:t xml:space="preserve">The methodology used in the financial analysis consisted in the following: </w:t>
      </w:r>
    </w:p>
    <w:p w14:paraId="6F78C878" w14:textId="77777777"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vertAlign w:val="superscript"/>
        </w:rPr>
      </w:pPr>
      <w:r w:rsidRPr="004F4398">
        <w:rPr>
          <w:rFonts w:ascii="Times New Roman" w:hAnsi="Times New Roman"/>
          <w:sz w:val="24"/>
          <w:szCs w:val="24"/>
        </w:rPr>
        <w:t xml:space="preserve">The analytical review and the analysis of the disclosure made by the </w:t>
      </w:r>
      <w:proofErr w:type="spellStart"/>
      <w:r w:rsidRPr="004F4398">
        <w:rPr>
          <w:rFonts w:ascii="Times New Roman" w:hAnsi="Times New Roman"/>
          <w:sz w:val="24"/>
          <w:szCs w:val="24"/>
        </w:rPr>
        <w:t>assessee</w:t>
      </w:r>
      <w:proofErr w:type="spellEnd"/>
      <w:r w:rsidRPr="004F4398">
        <w:rPr>
          <w:rFonts w:ascii="Times New Roman" w:hAnsi="Times New Roman"/>
          <w:sz w:val="24"/>
          <w:szCs w:val="24"/>
        </w:rPr>
        <w:t xml:space="preserve"> and his related persons in the Vetting declaration “Annex 2 (2017). </w:t>
      </w:r>
    </w:p>
    <w:p w14:paraId="07AFA7D9" w14:textId="77777777"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vertAlign w:val="superscript"/>
        </w:rPr>
      </w:pPr>
      <w:r w:rsidRPr="004F4398">
        <w:rPr>
          <w:rFonts w:ascii="Times New Roman" w:hAnsi="Times New Roman"/>
          <w:sz w:val="24"/>
          <w:szCs w:val="24"/>
        </w:rPr>
        <w:t xml:space="preserve">The analytical review and the analysis of the declarations made by the </w:t>
      </w:r>
      <w:proofErr w:type="spellStart"/>
      <w:r w:rsidRPr="004F4398">
        <w:rPr>
          <w:rFonts w:ascii="Times New Roman" w:hAnsi="Times New Roman"/>
          <w:sz w:val="24"/>
          <w:szCs w:val="24"/>
        </w:rPr>
        <w:t>assessee</w:t>
      </w:r>
      <w:proofErr w:type="spellEnd"/>
      <w:r w:rsidRPr="004F4398">
        <w:rPr>
          <w:rFonts w:ascii="Times New Roman" w:hAnsi="Times New Roman"/>
          <w:sz w:val="24"/>
          <w:szCs w:val="24"/>
        </w:rPr>
        <w:t xml:space="preserve"> and his related persons in the “Declarations of Periodic Annual Private Interests”</w:t>
      </w:r>
      <w:r w:rsidRPr="004F4398">
        <w:rPr>
          <w:rStyle w:val="FootnoteReference"/>
          <w:rFonts w:ascii="Times New Roman" w:hAnsi="Times New Roman"/>
          <w:sz w:val="24"/>
          <w:szCs w:val="24"/>
        </w:rPr>
        <w:footnoteReference w:id="1"/>
      </w:r>
      <w:r w:rsidRPr="004F4398">
        <w:rPr>
          <w:rFonts w:ascii="Times New Roman" w:hAnsi="Times New Roman"/>
          <w:sz w:val="24"/>
          <w:szCs w:val="24"/>
        </w:rPr>
        <w:t xml:space="preserve">, as of 2003 when the </w:t>
      </w:r>
      <w:proofErr w:type="spellStart"/>
      <w:r w:rsidRPr="004F4398">
        <w:rPr>
          <w:rFonts w:ascii="Times New Roman" w:hAnsi="Times New Roman"/>
          <w:sz w:val="24"/>
          <w:szCs w:val="24"/>
        </w:rPr>
        <w:t>assessee</w:t>
      </w:r>
      <w:proofErr w:type="spellEnd"/>
      <w:r w:rsidRPr="004F4398">
        <w:rPr>
          <w:rFonts w:ascii="Times New Roman" w:hAnsi="Times New Roman"/>
          <w:sz w:val="24"/>
          <w:szCs w:val="24"/>
        </w:rPr>
        <w:t xml:space="preserve"> made his entry/initial declaration, until 2016.   </w:t>
      </w:r>
    </w:p>
    <w:p w14:paraId="78C6D3DF" w14:textId="77777777"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rPr>
      </w:pPr>
      <w:r w:rsidRPr="004F4398">
        <w:rPr>
          <w:rFonts w:ascii="Times New Roman" w:hAnsi="Times New Roman"/>
          <w:sz w:val="24"/>
          <w:szCs w:val="24"/>
        </w:rPr>
        <w:t xml:space="preserve">The comparison of declarations made by the </w:t>
      </w:r>
      <w:proofErr w:type="spellStart"/>
      <w:r w:rsidRPr="004F4398">
        <w:rPr>
          <w:rFonts w:ascii="Times New Roman" w:hAnsi="Times New Roman"/>
          <w:sz w:val="24"/>
          <w:szCs w:val="24"/>
        </w:rPr>
        <w:t>assessee</w:t>
      </w:r>
      <w:proofErr w:type="spellEnd"/>
      <w:r w:rsidRPr="004F4398">
        <w:rPr>
          <w:rFonts w:ascii="Times New Roman" w:hAnsi="Times New Roman"/>
          <w:sz w:val="24"/>
          <w:szCs w:val="24"/>
        </w:rPr>
        <w:t xml:space="preserve"> and his related persons in the Vetting declaration and the disclosure made by them in the periodic declarations from 2003 to 2016. </w:t>
      </w:r>
    </w:p>
    <w:p w14:paraId="7EBAFA02" w14:textId="77777777"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rPr>
      </w:pPr>
      <w:r w:rsidRPr="004F4398">
        <w:rPr>
          <w:rFonts w:ascii="Times New Roman" w:hAnsi="Times New Roman"/>
          <w:sz w:val="24"/>
          <w:szCs w:val="24"/>
        </w:rPr>
        <w:t xml:space="preserve">The review and analysis of any financial or legal document concerning the performed transactions, as administered in the case file and submitted as evidence. </w:t>
      </w:r>
    </w:p>
    <w:p w14:paraId="6616236C" w14:textId="77777777"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rPr>
      </w:pPr>
      <w:r w:rsidRPr="004F4398">
        <w:rPr>
          <w:rFonts w:ascii="Times New Roman" w:hAnsi="Times New Roman"/>
          <w:sz w:val="24"/>
          <w:szCs w:val="24"/>
        </w:rPr>
        <w:t xml:space="preserve">The calculation of income for each year based on information contained in the certificates of the salaries received by the </w:t>
      </w:r>
      <w:proofErr w:type="spellStart"/>
      <w:r w:rsidRPr="004F4398">
        <w:rPr>
          <w:rFonts w:ascii="Times New Roman" w:hAnsi="Times New Roman"/>
          <w:sz w:val="24"/>
          <w:szCs w:val="24"/>
        </w:rPr>
        <w:t>assessee</w:t>
      </w:r>
      <w:proofErr w:type="spellEnd"/>
      <w:r w:rsidRPr="004F4398">
        <w:rPr>
          <w:rFonts w:ascii="Times New Roman" w:hAnsi="Times New Roman"/>
          <w:sz w:val="24"/>
          <w:szCs w:val="24"/>
        </w:rPr>
        <w:t xml:space="preserve"> and his related persons, as well as other income proved through supporting legal documentation.   </w:t>
      </w:r>
    </w:p>
    <w:p w14:paraId="7A59DA72" w14:textId="77777777"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rPr>
      </w:pPr>
      <w:r w:rsidRPr="004F4398">
        <w:rPr>
          <w:rFonts w:ascii="Times New Roman" w:hAnsi="Times New Roman"/>
          <w:sz w:val="24"/>
          <w:szCs w:val="24"/>
        </w:rPr>
        <w:t xml:space="preserve">The calculation of household expenses for each year, as well as other expenses declared in the vetting declaration and in the periodic declarations, following the verification of the documentation contained in the case file.   </w:t>
      </w:r>
    </w:p>
    <w:p w14:paraId="641E3D0D" w14:textId="77777777"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vertAlign w:val="superscript"/>
        </w:rPr>
      </w:pPr>
      <w:r w:rsidRPr="004F4398">
        <w:rPr>
          <w:rFonts w:ascii="Times New Roman" w:hAnsi="Times New Roman"/>
          <w:sz w:val="24"/>
          <w:szCs w:val="24"/>
        </w:rPr>
        <w:t xml:space="preserve">The reporting and recording for each year of any financial transaction disclosed in the vetting declaration and in the periodic declarations, following the verification of the documentation administered in the case file.   </w:t>
      </w:r>
    </w:p>
    <w:p w14:paraId="7718FC74" w14:textId="446A9FD5"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rPr>
      </w:pPr>
      <w:r w:rsidRPr="004F4398">
        <w:rPr>
          <w:rFonts w:ascii="Times New Roman" w:hAnsi="Times New Roman"/>
          <w:sz w:val="24"/>
          <w:szCs w:val="24"/>
        </w:rPr>
        <w:t xml:space="preserve">The drafting of the financial statements in order to assess the financial ability of the </w:t>
      </w:r>
      <w:proofErr w:type="spellStart"/>
      <w:r w:rsidRPr="004F4398">
        <w:rPr>
          <w:rFonts w:ascii="Times New Roman" w:hAnsi="Times New Roman"/>
          <w:sz w:val="24"/>
          <w:szCs w:val="24"/>
        </w:rPr>
        <w:t>assessee</w:t>
      </w:r>
      <w:proofErr w:type="spellEnd"/>
      <w:r w:rsidRPr="004F4398">
        <w:rPr>
          <w:rFonts w:ascii="Times New Roman" w:hAnsi="Times New Roman"/>
          <w:sz w:val="24"/>
          <w:szCs w:val="24"/>
        </w:rPr>
        <w:t xml:space="preserve"> and h</w:t>
      </w:r>
      <w:r>
        <w:rPr>
          <w:rFonts w:ascii="Times New Roman" w:hAnsi="Times New Roman"/>
          <w:sz w:val="24"/>
          <w:szCs w:val="24"/>
        </w:rPr>
        <w:t>is</w:t>
      </w:r>
      <w:r w:rsidRPr="004F4398">
        <w:rPr>
          <w:rFonts w:ascii="Times New Roman" w:hAnsi="Times New Roman"/>
          <w:sz w:val="24"/>
          <w:szCs w:val="24"/>
        </w:rPr>
        <w:t xml:space="preserve"> related persons, [the “</w:t>
      </w:r>
      <w:r>
        <w:rPr>
          <w:rFonts w:ascii="Times New Roman" w:hAnsi="Times New Roman"/>
          <w:sz w:val="24"/>
          <w:szCs w:val="24"/>
        </w:rPr>
        <w:t>Sharra</w:t>
      </w:r>
      <w:r w:rsidRPr="004F4398">
        <w:rPr>
          <w:rFonts w:ascii="Times New Roman" w:hAnsi="Times New Roman"/>
          <w:sz w:val="24"/>
          <w:szCs w:val="24"/>
        </w:rPr>
        <w:t>” household economic unit]</w:t>
      </w:r>
      <w:r w:rsidRPr="004F4398">
        <w:rPr>
          <w:rStyle w:val="FootnoteReference"/>
          <w:rFonts w:ascii="Times New Roman" w:hAnsi="Times New Roman"/>
          <w:sz w:val="24"/>
          <w:szCs w:val="24"/>
        </w:rPr>
        <w:footnoteReference w:id="2"/>
      </w:r>
      <w:r w:rsidRPr="004F4398">
        <w:rPr>
          <w:rFonts w:ascii="Times New Roman" w:hAnsi="Times New Roman"/>
          <w:sz w:val="24"/>
          <w:szCs w:val="24"/>
        </w:rPr>
        <w:t>, for each year subject to analysis.</w:t>
      </w:r>
    </w:p>
    <w:p w14:paraId="1499DB17" w14:textId="77777777"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rPr>
      </w:pPr>
      <w:r w:rsidRPr="004F4398">
        <w:rPr>
          <w:rFonts w:ascii="Times New Roman" w:hAnsi="Times New Roman"/>
          <w:sz w:val="24"/>
          <w:szCs w:val="24"/>
        </w:rPr>
        <w:t xml:space="preserve">The cash flow analysis about the </w:t>
      </w:r>
      <w:proofErr w:type="spellStart"/>
      <w:r w:rsidRPr="004F4398">
        <w:rPr>
          <w:rFonts w:ascii="Times New Roman" w:hAnsi="Times New Roman"/>
          <w:sz w:val="24"/>
          <w:szCs w:val="24"/>
        </w:rPr>
        <w:t>assessee</w:t>
      </w:r>
      <w:proofErr w:type="spellEnd"/>
      <w:r w:rsidRPr="004F4398">
        <w:rPr>
          <w:rFonts w:ascii="Times New Roman" w:hAnsi="Times New Roman"/>
          <w:sz w:val="24"/>
          <w:szCs w:val="24"/>
        </w:rPr>
        <w:t xml:space="preserve"> and h</w:t>
      </w:r>
      <w:r>
        <w:rPr>
          <w:rFonts w:ascii="Times New Roman" w:hAnsi="Times New Roman"/>
          <w:sz w:val="24"/>
          <w:szCs w:val="24"/>
        </w:rPr>
        <w:t>is</w:t>
      </w:r>
      <w:r w:rsidRPr="004F4398">
        <w:rPr>
          <w:rFonts w:ascii="Times New Roman" w:hAnsi="Times New Roman"/>
          <w:sz w:val="24"/>
          <w:szCs w:val="24"/>
        </w:rPr>
        <w:t xml:space="preserve"> related persons for the purpose of the argument</w:t>
      </w:r>
      <w:r>
        <w:rPr>
          <w:rFonts w:ascii="Times New Roman" w:hAnsi="Times New Roman"/>
          <w:sz w:val="24"/>
          <w:szCs w:val="24"/>
        </w:rPr>
        <w:t>s</w:t>
      </w:r>
      <w:r w:rsidRPr="004F4398">
        <w:rPr>
          <w:rFonts w:ascii="Times New Roman" w:hAnsi="Times New Roman"/>
          <w:sz w:val="24"/>
          <w:szCs w:val="24"/>
        </w:rPr>
        <w:t xml:space="preserve"> provided about each claim raised by the </w:t>
      </w:r>
      <w:proofErr w:type="spellStart"/>
      <w:r w:rsidRPr="004F4398">
        <w:rPr>
          <w:rFonts w:ascii="Times New Roman" w:hAnsi="Times New Roman"/>
          <w:sz w:val="24"/>
          <w:szCs w:val="24"/>
        </w:rPr>
        <w:t>assessee</w:t>
      </w:r>
      <w:proofErr w:type="spellEnd"/>
      <w:r w:rsidRPr="004F4398">
        <w:rPr>
          <w:rFonts w:ascii="Times New Roman" w:hAnsi="Times New Roman"/>
          <w:sz w:val="24"/>
          <w:szCs w:val="24"/>
        </w:rPr>
        <w:t xml:space="preserve"> in economic terms. </w:t>
      </w:r>
    </w:p>
    <w:p w14:paraId="6D76B906" w14:textId="77777777"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rPr>
      </w:pPr>
      <w:r w:rsidRPr="004F4398">
        <w:rPr>
          <w:rFonts w:ascii="Times New Roman" w:hAnsi="Times New Roman"/>
          <w:sz w:val="24"/>
          <w:szCs w:val="24"/>
        </w:rPr>
        <w:t>The calculation of savings (net income), (the fundamental concept of finance</w:t>
      </w:r>
      <w:r w:rsidRPr="004F4398">
        <w:rPr>
          <w:rStyle w:val="FootnoteReference"/>
          <w:rFonts w:ascii="Times New Roman" w:hAnsi="Times New Roman"/>
          <w:sz w:val="24"/>
          <w:szCs w:val="24"/>
        </w:rPr>
        <w:footnoteReference w:id="3"/>
      </w:r>
      <w:r w:rsidRPr="004F4398">
        <w:rPr>
          <w:rFonts w:ascii="Times New Roman" w:hAnsi="Times New Roman"/>
          <w:sz w:val="24"/>
          <w:szCs w:val="24"/>
        </w:rPr>
        <w:t>).</w:t>
      </w:r>
    </w:p>
    <w:p w14:paraId="7EA519CE" w14:textId="77777777"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rPr>
      </w:pPr>
      <w:r w:rsidRPr="004F4398">
        <w:rPr>
          <w:rFonts w:ascii="Times New Roman" w:hAnsi="Times New Roman"/>
          <w:sz w:val="24"/>
          <w:szCs w:val="24"/>
        </w:rPr>
        <w:t xml:space="preserve">The comparison of the declared cash savings, plus savings held in bank accounts, with the factual capacity of the </w:t>
      </w:r>
      <w:proofErr w:type="spellStart"/>
      <w:r w:rsidRPr="004F4398">
        <w:rPr>
          <w:rFonts w:ascii="Times New Roman" w:hAnsi="Times New Roman"/>
          <w:sz w:val="24"/>
          <w:szCs w:val="24"/>
        </w:rPr>
        <w:t>assessee</w:t>
      </w:r>
      <w:proofErr w:type="spellEnd"/>
      <w:r w:rsidRPr="004F4398">
        <w:rPr>
          <w:rFonts w:ascii="Times New Roman" w:hAnsi="Times New Roman"/>
          <w:sz w:val="24"/>
          <w:szCs w:val="24"/>
        </w:rPr>
        <w:t xml:space="preserve"> and his related persons to create savings, calculated as the difference between the lawful income and the expenses recognized for each respective year.</w:t>
      </w:r>
    </w:p>
    <w:p w14:paraId="1EDBF324" w14:textId="77777777" w:rsidR="009D560B" w:rsidRPr="004F4398" w:rsidRDefault="009D560B" w:rsidP="009D560B">
      <w:pPr>
        <w:pStyle w:val="ListParagraph"/>
        <w:numPr>
          <w:ilvl w:val="0"/>
          <w:numId w:val="2"/>
        </w:numPr>
        <w:spacing w:after="0" w:line="240" w:lineRule="auto"/>
        <w:ind w:left="414" w:hanging="324"/>
        <w:contextualSpacing w:val="0"/>
        <w:jc w:val="both"/>
        <w:rPr>
          <w:rFonts w:ascii="Times New Roman" w:hAnsi="Times New Roman"/>
          <w:sz w:val="24"/>
          <w:szCs w:val="24"/>
        </w:rPr>
      </w:pPr>
      <w:r w:rsidRPr="004F4398">
        <w:rPr>
          <w:rFonts w:ascii="Times New Roman" w:hAnsi="Times New Roman"/>
          <w:sz w:val="24"/>
          <w:szCs w:val="24"/>
        </w:rPr>
        <w:t xml:space="preserve">The calculation of the “net assets” for each year by taking into account the changes in assets owned and the liabilities owed for the respective year. </w:t>
      </w:r>
    </w:p>
    <w:p w14:paraId="770B76EE" w14:textId="77777777" w:rsidR="009D560B" w:rsidRPr="004F4398" w:rsidRDefault="009D560B" w:rsidP="009D560B">
      <w:pPr>
        <w:pStyle w:val="ListParagraph"/>
        <w:numPr>
          <w:ilvl w:val="0"/>
          <w:numId w:val="2"/>
        </w:numPr>
        <w:spacing w:after="160" w:line="240" w:lineRule="auto"/>
        <w:ind w:left="417" w:hanging="331"/>
        <w:contextualSpacing w:val="0"/>
        <w:jc w:val="both"/>
        <w:rPr>
          <w:rFonts w:ascii="Times New Roman" w:hAnsi="Times New Roman"/>
          <w:sz w:val="24"/>
          <w:szCs w:val="24"/>
        </w:rPr>
      </w:pPr>
      <w:r w:rsidRPr="004F4398">
        <w:rPr>
          <w:rFonts w:ascii="Times New Roman" w:hAnsi="Times New Roman"/>
          <w:sz w:val="24"/>
          <w:szCs w:val="24"/>
        </w:rPr>
        <w:t xml:space="preserve">The chronological assessment of the ability to pay for the </w:t>
      </w:r>
      <w:proofErr w:type="spellStart"/>
      <w:r w:rsidRPr="004F4398">
        <w:rPr>
          <w:rFonts w:ascii="Times New Roman" w:hAnsi="Times New Roman"/>
          <w:sz w:val="24"/>
          <w:szCs w:val="24"/>
        </w:rPr>
        <w:t>assessee</w:t>
      </w:r>
      <w:proofErr w:type="spellEnd"/>
      <w:r w:rsidRPr="004F4398">
        <w:rPr>
          <w:rFonts w:ascii="Times New Roman" w:hAnsi="Times New Roman"/>
          <w:sz w:val="24"/>
          <w:szCs w:val="24"/>
        </w:rPr>
        <w:t xml:space="preserve"> and his related persons for each asset created or expense incurred. </w:t>
      </w:r>
    </w:p>
    <w:p w14:paraId="0DDE73E9" w14:textId="77777777" w:rsidR="009D560B" w:rsidRPr="004F4398" w:rsidRDefault="009D560B" w:rsidP="009D560B">
      <w:pPr>
        <w:pStyle w:val="ListParagraph"/>
        <w:numPr>
          <w:ilvl w:val="0"/>
          <w:numId w:val="3"/>
        </w:numPr>
        <w:tabs>
          <w:tab w:val="left" w:pos="630"/>
          <w:tab w:val="left" w:pos="900"/>
        </w:tabs>
        <w:spacing w:before="60" w:after="60" w:line="240" w:lineRule="auto"/>
        <w:ind w:left="417" w:hanging="331"/>
        <w:contextualSpacing w:val="0"/>
        <w:jc w:val="both"/>
        <w:rPr>
          <w:rFonts w:ascii="Times New Roman" w:hAnsi="Times New Roman"/>
          <w:b/>
          <w:color w:val="000000"/>
          <w:sz w:val="24"/>
          <w:szCs w:val="24"/>
        </w:rPr>
      </w:pPr>
      <w:r w:rsidRPr="004F4398">
        <w:rPr>
          <w:rFonts w:ascii="Times New Roman" w:hAnsi="Times New Roman"/>
          <w:b/>
          <w:color w:val="000000" w:themeColor="text1"/>
          <w:sz w:val="24"/>
          <w:szCs w:val="24"/>
        </w:rPr>
        <w:t>Sources of data used for the calculations</w:t>
      </w:r>
      <w:r w:rsidRPr="004F4398">
        <w:rPr>
          <w:rFonts w:ascii="Times New Roman" w:hAnsi="Times New Roman"/>
          <w:b/>
          <w:color w:val="000000"/>
          <w:sz w:val="24"/>
          <w:szCs w:val="24"/>
        </w:rPr>
        <w:t xml:space="preserve"> </w:t>
      </w:r>
    </w:p>
    <w:p w14:paraId="2A117768" w14:textId="77777777" w:rsidR="009D560B" w:rsidRPr="004F4398" w:rsidRDefault="009D560B" w:rsidP="009D560B">
      <w:pPr>
        <w:pStyle w:val="ListParagraph"/>
        <w:numPr>
          <w:ilvl w:val="0"/>
          <w:numId w:val="1"/>
        </w:numPr>
        <w:spacing w:after="60" w:line="240" w:lineRule="auto"/>
        <w:ind w:left="461" w:hanging="187"/>
        <w:contextualSpacing w:val="0"/>
        <w:jc w:val="both"/>
        <w:rPr>
          <w:rFonts w:ascii="Times New Roman" w:hAnsi="Times New Roman"/>
          <w:sz w:val="24"/>
          <w:szCs w:val="24"/>
        </w:rPr>
      </w:pPr>
      <w:r w:rsidRPr="004F4398">
        <w:rPr>
          <w:rFonts w:ascii="Times New Roman" w:hAnsi="Times New Roman"/>
          <w:color w:val="000000" w:themeColor="text1"/>
          <w:sz w:val="24"/>
          <w:szCs w:val="24"/>
        </w:rPr>
        <w:t>The calculation of </w:t>
      </w:r>
      <w:r w:rsidRPr="004F4398">
        <w:rPr>
          <w:rFonts w:ascii="Times New Roman" w:hAnsi="Times New Roman"/>
          <w:i/>
          <w:iCs/>
          <w:color w:val="000000" w:themeColor="text1"/>
          <w:sz w:val="24"/>
          <w:szCs w:val="24"/>
          <w:u w:val="single"/>
        </w:rPr>
        <w:t>household consumption/living expenses</w:t>
      </w:r>
      <w:r w:rsidRPr="004F4398">
        <w:rPr>
          <w:rFonts w:ascii="Times New Roman" w:hAnsi="Times New Roman"/>
          <w:color w:val="000000" w:themeColor="text1"/>
          <w:sz w:val="24"/>
          <w:szCs w:val="24"/>
        </w:rPr>
        <w:t xml:space="preserve"> was carried out for each time period subject to analysis for the purpose of assessing the financial capacity of the </w:t>
      </w:r>
      <w:proofErr w:type="spellStart"/>
      <w:r w:rsidRPr="004F4398">
        <w:rPr>
          <w:rFonts w:ascii="Times New Roman" w:hAnsi="Times New Roman"/>
          <w:color w:val="000000" w:themeColor="text1"/>
          <w:sz w:val="24"/>
          <w:szCs w:val="24"/>
        </w:rPr>
        <w:t>assessee</w:t>
      </w:r>
      <w:proofErr w:type="spellEnd"/>
      <w:r w:rsidRPr="004F4398">
        <w:rPr>
          <w:rFonts w:ascii="Times New Roman" w:hAnsi="Times New Roman"/>
          <w:color w:val="000000" w:themeColor="text1"/>
          <w:sz w:val="24"/>
          <w:szCs w:val="24"/>
        </w:rPr>
        <w:t xml:space="preserve"> and his related persons, and/or the capacity of the other related persons, to check whether they justified with income from lawful sources the assets created and expenses incurred </w:t>
      </w:r>
      <w:r w:rsidRPr="004F4398">
        <w:rPr>
          <w:rFonts w:ascii="Times New Roman" w:hAnsi="Times New Roman"/>
          <w:color w:val="000000" w:themeColor="text1"/>
          <w:sz w:val="24"/>
          <w:szCs w:val="24"/>
        </w:rPr>
        <w:lastRenderedPageBreak/>
        <w:t>during the time period subject to analysis</w:t>
      </w:r>
      <w:r w:rsidRPr="004F4398">
        <w:rPr>
          <w:rFonts w:ascii="Times New Roman" w:hAnsi="Times New Roman"/>
          <w:sz w:val="24"/>
          <w:szCs w:val="24"/>
        </w:rPr>
        <w:t>. The living/household costs</w:t>
      </w:r>
      <w:r w:rsidRPr="004F4398">
        <w:rPr>
          <w:rFonts w:ascii="Times New Roman" w:hAnsi="Times New Roman"/>
          <w:i/>
          <w:sz w:val="24"/>
          <w:szCs w:val="24"/>
        </w:rPr>
        <w:t xml:space="preserve"> </w:t>
      </w:r>
      <w:r w:rsidRPr="004F4398">
        <w:rPr>
          <w:rFonts w:ascii="Times New Roman" w:hAnsi="Times New Roman"/>
          <w:sz w:val="24"/>
          <w:szCs w:val="24"/>
        </w:rPr>
        <w:t xml:space="preserve">were calculated as per the document with Prot. no. 1815/1, dated 04.03.2019, which </w:t>
      </w:r>
      <w:r w:rsidRPr="004F4398">
        <w:rPr>
          <w:rFonts w:ascii="Times New Roman" w:eastAsia="Times New Roman" w:hAnsi="Times New Roman"/>
          <w:bCs/>
          <w:sz w:val="20"/>
          <w:szCs w:val="20"/>
        </w:rPr>
        <w:t>HIDAACI</w:t>
      </w:r>
      <w:r w:rsidRPr="004F4398">
        <w:rPr>
          <w:rFonts w:ascii="Times New Roman" w:hAnsi="Times New Roman"/>
          <w:sz w:val="24"/>
          <w:szCs w:val="24"/>
          <w:vertAlign w:val="superscript"/>
        </w:rPr>
        <w:footnoteReference w:id="4"/>
      </w:r>
      <w:r w:rsidRPr="004F4398">
        <w:rPr>
          <w:rFonts w:ascii="Times New Roman" w:eastAsia="Times New Roman" w:hAnsi="Times New Roman"/>
          <w:bCs/>
          <w:sz w:val="20"/>
          <w:szCs w:val="20"/>
        </w:rPr>
        <w:t xml:space="preserve"> </w:t>
      </w:r>
      <w:r w:rsidRPr="004F4398">
        <w:rPr>
          <w:rFonts w:ascii="Times New Roman" w:hAnsi="Times New Roman"/>
          <w:sz w:val="24"/>
          <w:szCs w:val="24"/>
        </w:rPr>
        <w:t xml:space="preserve">delivered to the Appeal Chamber. </w:t>
      </w:r>
    </w:p>
    <w:p w14:paraId="7B1E8860" w14:textId="77777777" w:rsidR="009D560B" w:rsidRPr="004F4398" w:rsidRDefault="009D560B" w:rsidP="009D560B">
      <w:pPr>
        <w:pStyle w:val="ListParagraph"/>
        <w:numPr>
          <w:ilvl w:val="0"/>
          <w:numId w:val="1"/>
        </w:numPr>
        <w:spacing w:after="160" w:line="240" w:lineRule="auto"/>
        <w:ind w:left="461" w:hanging="187"/>
        <w:contextualSpacing w:val="0"/>
        <w:jc w:val="both"/>
        <w:rPr>
          <w:rFonts w:ascii="Times New Roman" w:hAnsi="Times New Roman"/>
          <w:sz w:val="20"/>
          <w:szCs w:val="20"/>
        </w:rPr>
      </w:pPr>
      <w:r w:rsidRPr="004F4398">
        <w:rPr>
          <w:rFonts w:ascii="Times New Roman" w:hAnsi="Times New Roman"/>
          <w:sz w:val="24"/>
          <w:szCs w:val="24"/>
        </w:rPr>
        <w:t>For the purpose of converting data from foreign currency to the local currency and vice versa, we have referred to the </w:t>
      </w:r>
      <w:r w:rsidRPr="004F4398">
        <w:rPr>
          <w:rFonts w:ascii="Times New Roman" w:hAnsi="Times New Roman"/>
          <w:i/>
          <w:iCs/>
          <w:sz w:val="24"/>
          <w:szCs w:val="24"/>
        </w:rPr>
        <w:t>“Archive of exchange rates,</w:t>
      </w:r>
      <w:r w:rsidRPr="004F4398">
        <w:rPr>
          <w:rFonts w:ascii="Times New Roman" w:hAnsi="Times New Roman"/>
          <w:sz w:val="24"/>
          <w:szCs w:val="24"/>
        </w:rPr>
        <w:t xml:space="preserve">” </w:t>
      </w:r>
      <w:r>
        <w:rPr>
          <w:rFonts w:ascii="Times New Roman" w:hAnsi="Times New Roman"/>
          <w:sz w:val="24"/>
          <w:szCs w:val="24"/>
        </w:rPr>
        <w:t xml:space="preserve">as </w:t>
      </w:r>
      <w:r w:rsidRPr="004F4398">
        <w:rPr>
          <w:rFonts w:ascii="Times New Roman" w:hAnsi="Times New Roman"/>
          <w:sz w:val="24"/>
          <w:szCs w:val="24"/>
        </w:rPr>
        <w:t>published on the official website of the Bank of Albania.</w:t>
      </w:r>
      <w:r w:rsidRPr="004F4398">
        <w:rPr>
          <w:rFonts w:ascii="Times New Roman" w:hAnsi="Times New Roman"/>
          <w:sz w:val="24"/>
          <w:szCs w:val="24"/>
          <w:vertAlign w:val="superscript"/>
        </w:rPr>
        <w:footnoteReference w:id="5"/>
      </w:r>
    </w:p>
    <w:p w14:paraId="5D62C289" w14:textId="77777777" w:rsidR="009D560B" w:rsidRPr="004F4398" w:rsidRDefault="009D560B" w:rsidP="009D560B">
      <w:pPr>
        <w:pStyle w:val="ListParagraph"/>
        <w:spacing w:after="160" w:line="240" w:lineRule="auto"/>
        <w:ind w:left="270"/>
        <w:contextualSpacing w:val="0"/>
        <w:jc w:val="both"/>
        <w:rPr>
          <w:rFonts w:ascii="Times New Roman" w:hAnsi="Times New Roman"/>
          <w:sz w:val="24"/>
          <w:szCs w:val="24"/>
        </w:rPr>
      </w:pPr>
    </w:p>
    <w:p w14:paraId="30CDDEC2" w14:textId="77777777" w:rsidR="009D560B" w:rsidRPr="004F4398" w:rsidRDefault="009D560B" w:rsidP="009D560B">
      <w:pPr>
        <w:spacing w:after="160" w:line="240" w:lineRule="auto"/>
        <w:jc w:val="both"/>
        <w:rPr>
          <w:rFonts w:ascii="Times New Roman" w:hAnsi="Times New Roman"/>
          <w:sz w:val="24"/>
          <w:szCs w:val="24"/>
        </w:rPr>
      </w:pPr>
    </w:p>
    <w:p w14:paraId="64E77BE9" w14:textId="77777777" w:rsidR="009D560B" w:rsidRPr="004F4398" w:rsidRDefault="009D560B" w:rsidP="009D560B"/>
    <w:p w14:paraId="1F8985C5" w14:textId="77777777" w:rsidR="009D560B" w:rsidRPr="004F4398" w:rsidRDefault="009D560B" w:rsidP="009D560B">
      <w:pPr>
        <w:spacing w:after="160" w:line="240" w:lineRule="auto"/>
        <w:ind w:left="274"/>
        <w:jc w:val="both"/>
        <w:rPr>
          <w:rFonts w:ascii="Times New Roman" w:hAnsi="Times New Roman"/>
          <w:sz w:val="24"/>
          <w:szCs w:val="24"/>
        </w:rPr>
      </w:pPr>
    </w:p>
    <w:p w14:paraId="79DD8E29" w14:textId="77777777" w:rsidR="009D560B" w:rsidRPr="004F4398" w:rsidRDefault="009D560B" w:rsidP="009D560B">
      <w:pPr>
        <w:spacing w:after="160" w:line="240" w:lineRule="auto"/>
        <w:ind w:left="274"/>
        <w:jc w:val="both"/>
        <w:rPr>
          <w:rFonts w:ascii="Times New Roman" w:hAnsi="Times New Roman"/>
          <w:sz w:val="24"/>
          <w:szCs w:val="24"/>
        </w:rPr>
      </w:pPr>
    </w:p>
    <w:p w14:paraId="43A3B28E" w14:textId="77777777" w:rsidR="009D560B" w:rsidRPr="004F4398" w:rsidRDefault="009D560B" w:rsidP="009D560B">
      <w:pPr>
        <w:spacing w:after="160" w:line="240" w:lineRule="auto"/>
        <w:ind w:left="274"/>
        <w:jc w:val="both"/>
        <w:rPr>
          <w:rFonts w:ascii="Times New Roman" w:hAnsi="Times New Roman"/>
          <w:sz w:val="24"/>
          <w:szCs w:val="24"/>
        </w:rPr>
      </w:pPr>
    </w:p>
    <w:p w14:paraId="7A05CE92" w14:textId="77777777" w:rsidR="009D560B" w:rsidRPr="004F4398" w:rsidRDefault="009D560B" w:rsidP="009D560B">
      <w:pPr>
        <w:spacing w:after="160" w:line="240" w:lineRule="auto"/>
        <w:ind w:left="274"/>
        <w:jc w:val="both"/>
        <w:rPr>
          <w:rFonts w:ascii="Times New Roman" w:hAnsi="Times New Roman"/>
          <w:sz w:val="24"/>
          <w:szCs w:val="24"/>
        </w:rPr>
      </w:pPr>
    </w:p>
    <w:p w14:paraId="4BD2A0D6" w14:textId="77777777" w:rsidR="009D560B" w:rsidRPr="004F4398" w:rsidRDefault="009D560B" w:rsidP="009D560B">
      <w:pPr>
        <w:spacing w:after="160" w:line="240" w:lineRule="auto"/>
        <w:ind w:left="274"/>
        <w:jc w:val="both"/>
        <w:rPr>
          <w:rFonts w:ascii="Times New Roman" w:hAnsi="Times New Roman"/>
          <w:sz w:val="24"/>
          <w:szCs w:val="24"/>
        </w:rPr>
      </w:pPr>
    </w:p>
    <w:p w14:paraId="6A711DDD" w14:textId="77777777" w:rsidR="009D560B" w:rsidRPr="004F4398" w:rsidRDefault="009D560B" w:rsidP="009D560B">
      <w:pPr>
        <w:spacing w:after="160" w:line="240" w:lineRule="auto"/>
        <w:ind w:left="274"/>
        <w:jc w:val="both"/>
        <w:rPr>
          <w:rFonts w:ascii="Times New Roman" w:hAnsi="Times New Roman"/>
          <w:sz w:val="24"/>
          <w:szCs w:val="24"/>
        </w:rPr>
      </w:pPr>
    </w:p>
    <w:p w14:paraId="10938540" w14:textId="77777777" w:rsidR="009D560B" w:rsidRPr="004F4398" w:rsidRDefault="009D560B" w:rsidP="009D560B">
      <w:pPr>
        <w:spacing w:after="160" w:line="240" w:lineRule="auto"/>
        <w:ind w:left="274"/>
        <w:jc w:val="both"/>
        <w:rPr>
          <w:rFonts w:ascii="Times New Roman" w:hAnsi="Times New Roman"/>
          <w:sz w:val="24"/>
          <w:szCs w:val="24"/>
        </w:rPr>
      </w:pPr>
    </w:p>
    <w:p w14:paraId="066B9330" w14:textId="77777777" w:rsidR="009D560B" w:rsidRPr="004F4398" w:rsidRDefault="009D560B" w:rsidP="009D560B">
      <w:pPr>
        <w:spacing w:after="160" w:line="240" w:lineRule="auto"/>
        <w:ind w:left="274"/>
        <w:jc w:val="both"/>
        <w:rPr>
          <w:rFonts w:ascii="Times New Roman" w:hAnsi="Times New Roman"/>
          <w:sz w:val="24"/>
          <w:szCs w:val="24"/>
        </w:rPr>
      </w:pPr>
    </w:p>
    <w:p w14:paraId="67FA4EFC" w14:textId="77777777" w:rsidR="009D560B" w:rsidRPr="004F4398" w:rsidRDefault="009D560B" w:rsidP="009D560B">
      <w:pPr>
        <w:spacing w:after="160" w:line="240" w:lineRule="auto"/>
        <w:ind w:left="274"/>
        <w:jc w:val="both"/>
        <w:rPr>
          <w:rFonts w:ascii="Times New Roman" w:hAnsi="Times New Roman"/>
          <w:sz w:val="24"/>
          <w:szCs w:val="24"/>
        </w:rPr>
      </w:pPr>
    </w:p>
    <w:p w14:paraId="08B4FC62" w14:textId="77777777" w:rsidR="009D560B" w:rsidRPr="004F4398" w:rsidRDefault="009D560B" w:rsidP="009D560B">
      <w:pPr>
        <w:spacing w:after="160" w:line="240" w:lineRule="auto"/>
        <w:ind w:left="274"/>
        <w:jc w:val="both"/>
        <w:rPr>
          <w:rFonts w:ascii="Times New Roman" w:hAnsi="Times New Roman"/>
          <w:sz w:val="24"/>
          <w:szCs w:val="24"/>
        </w:rPr>
      </w:pPr>
    </w:p>
    <w:p w14:paraId="2242DF1F" w14:textId="77777777" w:rsidR="009D560B" w:rsidRPr="004F4398" w:rsidRDefault="009D560B" w:rsidP="009D560B">
      <w:pPr>
        <w:spacing w:after="160" w:line="240" w:lineRule="auto"/>
        <w:ind w:left="274"/>
        <w:jc w:val="both"/>
        <w:rPr>
          <w:rFonts w:ascii="Times New Roman" w:hAnsi="Times New Roman"/>
          <w:sz w:val="24"/>
          <w:szCs w:val="24"/>
        </w:rPr>
      </w:pPr>
    </w:p>
    <w:p w14:paraId="7A765F7B" w14:textId="77777777" w:rsidR="009D560B" w:rsidRPr="004F4398" w:rsidRDefault="009D560B" w:rsidP="009D560B">
      <w:pPr>
        <w:spacing w:after="160" w:line="240" w:lineRule="auto"/>
        <w:ind w:left="274"/>
        <w:jc w:val="both"/>
        <w:rPr>
          <w:rFonts w:ascii="Times New Roman" w:hAnsi="Times New Roman"/>
          <w:sz w:val="24"/>
          <w:szCs w:val="24"/>
        </w:rPr>
      </w:pPr>
    </w:p>
    <w:p w14:paraId="2A39ECDE" w14:textId="77777777" w:rsidR="009D560B" w:rsidRPr="004F4398" w:rsidRDefault="009D560B" w:rsidP="009D560B">
      <w:pPr>
        <w:spacing w:after="160" w:line="240" w:lineRule="auto"/>
        <w:ind w:left="274"/>
        <w:jc w:val="both"/>
        <w:rPr>
          <w:rFonts w:ascii="Times New Roman" w:hAnsi="Times New Roman"/>
          <w:sz w:val="24"/>
          <w:szCs w:val="24"/>
        </w:rPr>
      </w:pPr>
    </w:p>
    <w:p w14:paraId="0B40CBCE" w14:textId="77777777" w:rsidR="009D560B" w:rsidRPr="004F4398" w:rsidRDefault="009D560B" w:rsidP="009D560B">
      <w:pPr>
        <w:rPr>
          <w:rFonts w:ascii="Times New Roman" w:hAnsi="Times New Roman"/>
          <w:sz w:val="24"/>
          <w:szCs w:val="24"/>
        </w:rPr>
      </w:pPr>
    </w:p>
    <w:p w14:paraId="4FD7586E" w14:textId="77777777" w:rsidR="009D560B" w:rsidRPr="004F4398" w:rsidRDefault="009D560B" w:rsidP="009D560B">
      <w:pPr>
        <w:rPr>
          <w:rFonts w:ascii="Times New Roman" w:hAnsi="Times New Roman"/>
          <w:sz w:val="24"/>
          <w:szCs w:val="24"/>
        </w:rPr>
      </w:pPr>
    </w:p>
    <w:p w14:paraId="13684F74" w14:textId="77777777" w:rsidR="009D560B" w:rsidRPr="004F4398" w:rsidRDefault="009D560B" w:rsidP="009D560B">
      <w:pPr>
        <w:rPr>
          <w:rFonts w:ascii="Times New Roman" w:hAnsi="Times New Roman"/>
          <w:sz w:val="24"/>
          <w:szCs w:val="24"/>
        </w:rPr>
      </w:pPr>
    </w:p>
    <w:p w14:paraId="23BCC04D" w14:textId="77777777" w:rsidR="009D560B" w:rsidRPr="004F4398" w:rsidRDefault="009D560B" w:rsidP="009D560B">
      <w:pPr>
        <w:rPr>
          <w:rFonts w:ascii="Times New Roman" w:hAnsi="Times New Roman"/>
          <w:sz w:val="24"/>
          <w:szCs w:val="24"/>
        </w:rPr>
      </w:pPr>
    </w:p>
    <w:p w14:paraId="3EA5DEB8" w14:textId="77777777" w:rsidR="00C9598A" w:rsidRPr="00981F73" w:rsidRDefault="00C9598A" w:rsidP="00981F73"/>
    <w:sectPr w:rsidR="00C9598A" w:rsidRPr="00981F73" w:rsidSect="003A7DED">
      <w:pgSz w:w="11907" w:h="16839" w:code="9"/>
      <w:pgMar w:top="1440" w:right="1440" w:bottom="1440" w:left="1440" w:header="115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92BD9" w14:textId="77777777" w:rsidR="00B853FD" w:rsidRDefault="00B853FD" w:rsidP="00981F73">
      <w:pPr>
        <w:spacing w:after="0" w:line="240" w:lineRule="auto"/>
      </w:pPr>
      <w:r>
        <w:separator/>
      </w:r>
    </w:p>
  </w:endnote>
  <w:endnote w:type="continuationSeparator" w:id="0">
    <w:p w14:paraId="248E76D2" w14:textId="77777777" w:rsidR="00B853FD" w:rsidRDefault="00B853FD" w:rsidP="00981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E62F3" w14:textId="77777777" w:rsidR="00B853FD" w:rsidRDefault="00B853FD" w:rsidP="00981F73">
      <w:pPr>
        <w:spacing w:after="0" w:line="240" w:lineRule="auto"/>
      </w:pPr>
      <w:r>
        <w:separator/>
      </w:r>
    </w:p>
  </w:footnote>
  <w:footnote w:type="continuationSeparator" w:id="0">
    <w:p w14:paraId="40E731B6" w14:textId="77777777" w:rsidR="00B853FD" w:rsidRDefault="00B853FD" w:rsidP="00981F73">
      <w:pPr>
        <w:spacing w:after="0" w:line="240" w:lineRule="auto"/>
      </w:pPr>
      <w:r>
        <w:continuationSeparator/>
      </w:r>
    </w:p>
  </w:footnote>
  <w:footnote w:id="1">
    <w:p w14:paraId="1B2A156E" w14:textId="77777777" w:rsidR="009D560B" w:rsidRPr="00E727D6" w:rsidRDefault="009D560B" w:rsidP="009D560B">
      <w:pPr>
        <w:pStyle w:val="FootnoteText"/>
        <w:jc w:val="both"/>
        <w:rPr>
          <w:rFonts w:ascii="Times New Roman" w:hAnsi="Times New Roman"/>
          <w:sz w:val="18"/>
          <w:szCs w:val="18"/>
        </w:rPr>
      </w:pPr>
      <w:r w:rsidRPr="00E727D6">
        <w:rPr>
          <w:rStyle w:val="FootnoteReference"/>
          <w:rFonts w:ascii="Times New Roman" w:hAnsi="Times New Roman"/>
          <w:sz w:val="18"/>
          <w:szCs w:val="18"/>
        </w:rPr>
        <w:footnoteRef/>
      </w:r>
      <w:r w:rsidRPr="00E727D6">
        <w:rPr>
          <w:rFonts w:ascii="Times New Roman" w:hAnsi="Times New Roman"/>
          <w:sz w:val="18"/>
          <w:szCs w:val="18"/>
        </w:rPr>
        <w:t xml:space="preserve"> </w:t>
      </w:r>
      <w:r w:rsidRPr="00FB3AF5">
        <w:rPr>
          <w:rFonts w:ascii="Times New Roman" w:hAnsi="Times New Roman"/>
          <w:i/>
          <w:sz w:val="18"/>
          <w:szCs w:val="18"/>
        </w:rPr>
        <w:t>Periodic/annual declaration of private interests – referred to as “periodic declaration”</w:t>
      </w:r>
      <w:r>
        <w:rPr>
          <w:rFonts w:ascii="Times New Roman" w:hAnsi="Times New Roman"/>
          <w:i/>
          <w:sz w:val="18"/>
          <w:szCs w:val="18"/>
        </w:rPr>
        <w:t>.</w:t>
      </w:r>
      <w:r w:rsidRPr="00FB3AF5">
        <w:rPr>
          <w:rFonts w:ascii="Times New Roman" w:hAnsi="Times New Roman"/>
          <w:i/>
          <w:sz w:val="18"/>
          <w:szCs w:val="18"/>
        </w:rPr>
        <w:t xml:space="preserve"> </w:t>
      </w:r>
    </w:p>
  </w:footnote>
  <w:footnote w:id="2">
    <w:p w14:paraId="3884CD11" w14:textId="77777777" w:rsidR="009D560B" w:rsidRDefault="009D560B" w:rsidP="009D560B">
      <w:pPr>
        <w:pStyle w:val="FootnoteText"/>
      </w:pPr>
      <w:r>
        <w:rPr>
          <w:rStyle w:val="FootnoteReference"/>
        </w:rPr>
        <w:footnoteRef/>
      </w:r>
      <w:r>
        <w:t xml:space="preserve"> </w:t>
      </w:r>
      <w:r w:rsidRPr="00FB3AF5">
        <w:rPr>
          <w:rFonts w:ascii="Times New Roman" w:hAnsi="Times New Roman"/>
          <w:b/>
          <w:i/>
          <w:iCs/>
          <w:color w:val="000000"/>
          <w:sz w:val="18"/>
          <w:szCs w:val="18"/>
        </w:rPr>
        <w:t>Household Economic Unit (HEU) is a term used by INSTAT, Albania’s Institute of Statistics</w:t>
      </w:r>
    </w:p>
  </w:footnote>
  <w:footnote w:id="3">
    <w:p w14:paraId="59BBD02E" w14:textId="77777777" w:rsidR="009D560B" w:rsidRPr="00E727D6" w:rsidRDefault="009D560B" w:rsidP="009D560B">
      <w:pPr>
        <w:pStyle w:val="FootnoteText"/>
        <w:ind w:left="180" w:hanging="180"/>
        <w:jc w:val="both"/>
        <w:rPr>
          <w:rFonts w:ascii="Times New Roman" w:hAnsi="Times New Roman"/>
          <w:b/>
          <w:i/>
          <w:sz w:val="18"/>
          <w:szCs w:val="18"/>
        </w:rPr>
      </w:pPr>
      <w:r w:rsidRPr="00E727D6">
        <w:rPr>
          <w:rStyle w:val="FootnoteReference"/>
          <w:rFonts w:ascii="Times New Roman" w:hAnsi="Times New Roman"/>
          <w:b/>
          <w:sz w:val="18"/>
          <w:szCs w:val="18"/>
        </w:rPr>
        <w:footnoteRef/>
      </w:r>
      <w:r>
        <w:rPr>
          <w:rFonts w:ascii="Times New Roman" w:hAnsi="Times New Roman"/>
          <w:b/>
          <w:color w:val="000000"/>
          <w:sz w:val="18"/>
          <w:szCs w:val="18"/>
        </w:rPr>
        <w:t xml:space="preserve"> </w:t>
      </w:r>
      <w:r w:rsidRPr="00FB3AF5">
        <w:rPr>
          <w:rFonts w:ascii="Times New Roman" w:eastAsia="Times New Roman" w:hAnsi="Times New Roman"/>
          <w:b/>
          <w:i/>
          <w:color w:val="000000"/>
          <w:sz w:val="18"/>
          <w:szCs w:val="18"/>
        </w:rPr>
        <w:t>“</w:t>
      </w:r>
      <w:r w:rsidRPr="00FB3AF5">
        <w:rPr>
          <w:rFonts w:ascii="Times New Roman" w:eastAsia="Times New Roman" w:hAnsi="Times New Roman"/>
          <w:b/>
          <w:i/>
          <w:iCs/>
          <w:color w:val="000000"/>
          <w:sz w:val="18"/>
          <w:szCs w:val="18"/>
        </w:rPr>
        <w:t>The Science of Finance,” the fundamental financial concepts: “</w:t>
      </w:r>
      <w:r w:rsidRPr="00FB3AF5">
        <w:rPr>
          <w:rFonts w:ascii="Times New Roman" w:eastAsia="Times New Roman" w:hAnsi="Times New Roman"/>
          <w:b/>
          <w:bCs/>
          <w:i/>
          <w:iCs/>
          <w:color w:val="000000"/>
          <w:sz w:val="18"/>
          <w:szCs w:val="18"/>
        </w:rPr>
        <w:t>Surplus of income over expenses is known as savings for household economic units</w:t>
      </w:r>
      <w:r w:rsidRPr="00FB3AF5">
        <w:rPr>
          <w:rFonts w:ascii="Times New Roman" w:eastAsia="Times New Roman" w:hAnsi="Times New Roman"/>
          <w:b/>
          <w:i/>
          <w:iCs/>
          <w:color w:val="000000"/>
          <w:sz w:val="18"/>
          <w:szCs w:val="18"/>
        </w:rPr>
        <w:t>, as profit for businesses and surplus for the public sector”; net assets = gross assets – outstanding liabilities.</w:t>
      </w:r>
      <w:r w:rsidRPr="00E727D6">
        <w:rPr>
          <w:rFonts w:ascii="Times New Roman" w:hAnsi="Times New Roman"/>
          <w:b/>
          <w:color w:val="000000"/>
          <w:sz w:val="18"/>
          <w:szCs w:val="18"/>
        </w:rPr>
        <w:t xml:space="preserve"> </w:t>
      </w:r>
    </w:p>
  </w:footnote>
  <w:footnote w:id="4">
    <w:p w14:paraId="152E47BC" w14:textId="77777777" w:rsidR="009D560B" w:rsidRPr="00962C0A" w:rsidRDefault="009D560B" w:rsidP="009D560B">
      <w:pPr>
        <w:pStyle w:val="FootnoteText"/>
        <w:tabs>
          <w:tab w:val="left" w:pos="0"/>
          <w:tab w:val="left" w:pos="360"/>
        </w:tabs>
        <w:ind w:left="180" w:hanging="270"/>
        <w:jc w:val="both"/>
        <w:rPr>
          <w:rFonts w:ascii="Times New Roman" w:hAnsi="Times New Roman"/>
          <w:sz w:val="18"/>
          <w:szCs w:val="18"/>
        </w:rPr>
      </w:pPr>
      <w:r w:rsidRPr="00E727D6">
        <w:rPr>
          <w:rFonts w:ascii="Times New Roman" w:hAnsi="Times New Roman"/>
          <w:sz w:val="18"/>
          <w:szCs w:val="18"/>
        </w:rPr>
        <w:t xml:space="preserve">  </w:t>
      </w:r>
      <w:r w:rsidRPr="00E727D6">
        <w:rPr>
          <w:rStyle w:val="FootnoteReference"/>
          <w:rFonts w:ascii="Times New Roman" w:hAnsi="Times New Roman"/>
          <w:sz w:val="18"/>
          <w:szCs w:val="18"/>
        </w:rPr>
        <w:footnoteRef/>
      </w:r>
      <w:r w:rsidRPr="00E727D6">
        <w:rPr>
          <w:rFonts w:ascii="Times New Roman" w:hAnsi="Times New Roman"/>
          <w:sz w:val="18"/>
          <w:szCs w:val="18"/>
        </w:rPr>
        <w:t xml:space="preserve"> </w:t>
      </w:r>
      <w:r w:rsidRPr="00803F99">
        <w:rPr>
          <w:rFonts w:ascii="Times New Roman" w:hAnsi="Times New Roman"/>
          <w:i/>
          <w:iCs/>
          <w:color w:val="000000"/>
          <w:sz w:val="18"/>
          <w:szCs w:val="18"/>
        </w:rPr>
        <w:t xml:space="preserve"> </w:t>
      </w:r>
      <w:r>
        <w:rPr>
          <w:rFonts w:ascii="Times New Roman" w:hAnsi="Times New Roman"/>
          <w:i/>
          <w:iCs/>
          <w:color w:val="000000"/>
          <w:sz w:val="18"/>
          <w:szCs w:val="18"/>
        </w:rPr>
        <w:t xml:space="preserve">With reference </w:t>
      </w:r>
      <w:r w:rsidRPr="00803F99">
        <w:rPr>
          <w:rFonts w:ascii="Times New Roman" w:hAnsi="Times New Roman"/>
          <w:i/>
          <w:iCs/>
          <w:color w:val="000000"/>
          <w:sz w:val="18"/>
          <w:szCs w:val="18"/>
        </w:rPr>
        <w:t>to data under</w:t>
      </w:r>
      <w:r>
        <w:rPr>
          <w:rFonts w:ascii="Times New Roman" w:hAnsi="Times New Roman"/>
          <w:i/>
          <w:iCs/>
          <w:color w:val="000000"/>
          <w:sz w:val="18"/>
          <w:szCs w:val="18"/>
        </w:rPr>
        <w:t xml:space="preserve"> the</w:t>
      </w:r>
      <w:r w:rsidRPr="00803F99">
        <w:rPr>
          <w:rFonts w:ascii="Times New Roman" w:hAnsi="Times New Roman"/>
          <w:i/>
          <w:iCs/>
          <w:color w:val="000000"/>
          <w:sz w:val="18"/>
          <w:szCs w:val="18"/>
        </w:rPr>
        <w:t xml:space="preserve"> document with Prot. no. 1815/1, dated 04.03.2019, forwarded to the Appeal Chamber by HIDAACI, including the correspondence that INSTAT, Albania’s sole official institution responsible and specialized in statistical indicators of annual and monthly household and per capita consumption, sent to HIDAACI, whereby for 2000, 2006-2007, 2008, 2009, 2014, 2015 and 2016, the data were obtained from the Household Budget Survey (HBS), published on INSTAT’s official website</w:t>
      </w:r>
      <w:r w:rsidRPr="00962C0A">
        <w:rPr>
          <w:rFonts w:ascii="Times New Roman" w:hAnsi="Times New Roman"/>
          <w:sz w:val="18"/>
          <w:szCs w:val="18"/>
        </w:rPr>
        <w:t xml:space="preserve">, </w:t>
      </w:r>
    </w:p>
    <w:p w14:paraId="2B82B4AA" w14:textId="77777777" w:rsidR="009D560B" w:rsidRPr="00962C0A" w:rsidRDefault="009D560B" w:rsidP="009D560B">
      <w:pPr>
        <w:pStyle w:val="FootnoteText"/>
        <w:tabs>
          <w:tab w:val="left" w:pos="180"/>
        </w:tabs>
        <w:ind w:left="180"/>
        <w:jc w:val="both"/>
        <w:rPr>
          <w:rFonts w:ascii="Times New Roman" w:hAnsi="Times New Roman"/>
          <w:color w:val="293D3D"/>
          <w:sz w:val="18"/>
          <w:szCs w:val="18"/>
        </w:rPr>
      </w:pPr>
      <w:r>
        <w:rPr>
          <w:rFonts w:ascii="Times New Roman" w:hAnsi="Times New Roman"/>
          <w:sz w:val="18"/>
          <w:szCs w:val="18"/>
        </w:rPr>
        <w:t>See</w:t>
      </w:r>
      <w:r w:rsidRPr="00962C0A">
        <w:rPr>
          <w:rFonts w:ascii="Times New Roman" w:hAnsi="Times New Roman"/>
          <w:sz w:val="18"/>
          <w:szCs w:val="18"/>
        </w:rPr>
        <w:t xml:space="preserve">: </w:t>
      </w:r>
      <w:hyperlink r:id="rId1" w:history="1">
        <w:r w:rsidRPr="00962C0A">
          <w:rPr>
            <w:rStyle w:val="Hyperlink"/>
            <w:rFonts w:ascii="Times New Roman" w:hAnsi="Times New Roman"/>
            <w:color w:val="293D3D"/>
            <w:sz w:val="18"/>
            <w:szCs w:val="18"/>
          </w:rPr>
          <w:t>http://www.instat.gov.al/al/temat/kushtet-sociale/anketa-e-buxhetit-t%C3%AB-familjes/</w:t>
        </w:r>
      </w:hyperlink>
      <w:r w:rsidRPr="00962C0A">
        <w:rPr>
          <w:rFonts w:ascii="Times New Roman" w:hAnsi="Times New Roman"/>
          <w:color w:val="293D3D"/>
          <w:sz w:val="18"/>
          <w:szCs w:val="18"/>
        </w:rPr>
        <w:t xml:space="preserve">, </w:t>
      </w:r>
    </w:p>
    <w:p w14:paraId="5059AE88" w14:textId="77777777" w:rsidR="009D560B" w:rsidRPr="00962C0A" w:rsidRDefault="009D560B" w:rsidP="009D560B">
      <w:pPr>
        <w:pStyle w:val="FootnoteText"/>
        <w:tabs>
          <w:tab w:val="left" w:pos="180"/>
        </w:tabs>
        <w:ind w:left="180"/>
        <w:jc w:val="both"/>
        <w:rPr>
          <w:rFonts w:ascii="Times New Roman" w:hAnsi="Times New Roman"/>
          <w:sz w:val="18"/>
          <w:szCs w:val="18"/>
        </w:rPr>
      </w:pPr>
      <w:r w:rsidRPr="00346842">
        <w:rPr>
          <w:rFonts w:ascii="Times New Roman" w:hAnsi="Times New Roman"/>
          <w:iCs/>
          <w:color w:val="000000"/>
          <w:sz w:val="18"/>
          <w:szCs w:val="18"/>
        </w:rPr>
        <w:t>whereas for the 2002-2005 period, based on data from the “Living Standards Measurement Survey,” also published on INSTAT’s official website</w:t>
      </w:r>
      <w:r>
        <w:rPr>
          <w:rFonts w:ascii="Times New Roman" w:hAnsi="Times New Roman"/>
          <w:iCs/>
          <w:color w:val="000000"/>
          <w:sz w:val="18"/>
          <w:szCs w:val="18"/>
        </w:rPr>
        <w:t>.</w:t>
      </w:r>
      <w:r w:rsidRPr="00962C0A">
        <w:rPr>
          <w:rFonts w:ascii="Times New Roman" w:hAnsi="Times New Roman"/>
          <w:sz w:val="18"/>
          <w:szCs w:val="18"/>
        </w:rPr>
        <w:t xml:space="preserve"> </w:t>
      </w:r>
    </w:p>
    <w:p w14:paraId="1B8969E8" w14:textId="77777777" w:rsidR="009D560B" w:rsidRPr="00E727D6" w:rsidRDefault="009D560B" w:rsidP="009D560B">
      <w:pPr>
        <w:pStyle w:val="FootnoteText"/>
        <w:tabs>
          <w:tab w:val="left" w:pos="0"/>
          <w:tab w:val="left" w:pos="360"/>
        </w:tabs>
        <w:ind w:left="180" w:hanging="270"/>
        <w:jc w:val="both"/>
        <w:rPr>
          <w:rFonts w:ascii="Times New Roman" w:hAnsi="Times New Roman"/>
          <w:sz w:val="18"/>
          <w:szCs w:val="18"/>
        </w:rPr>
      </w:pPr>
      <w:r>
        <w:rPr>
          <w:rFonts w:ascii="Times New Roman" w:hAnsi="Times New Roman"/>
          <w:sz w:val="18"/>
          <w:szCs w:val="18"/>
        </w:rPr>
        <w:tab/>
      </w:r>
      <w:r>
        <w:rPr>
          <w:rFonts w:ascii="Times New Roman" w:hAnsi="Times New Roman"/>
          <w:sz w:val="18"/>
          <w:szCs w:val="18"/>
        </w:rPr>
        <w:tab/>
        <w:t>See</w:t>
      </w:r>
      <w:r w:rsidRPr="00962C0A">
        <w:rPr>
          <w:rFonts w:ascii="Times New Roman" w:hAnsi="Times New Roman"/>
          <w:sz w:val="18"/>
          <w:szCs w:val="18"/>
        </w:rPr>
        <w:t xml:space="preserve">: </w:t>
      </w:r>
      <w:hyperlink r:id="rId2" w:history="1">
        <w:r w:rsidRPr="00962C0A">
          <w:rPr>
            <w:rStyle w:val="Hyperlink"/>
            <w:rFonts w:ascii="Times New Roman" w:hAnsi="Times New Roman"/>
            <w:color w:val="293D3D"/>
            <w:sz w:val="18"/>
            <w:szCs w:val="18"/>
          </w:rPr>
          <w:t>http://www.instat.gov.al/al/temat/kushtet-sociale/anketa-e-matjes-s%C3%AB-nivelit-t%C3%AB-jetes%C3%ABs/</w:t>
        </w:r>
      </w:hyperlink>
      <w:r w:rsidRPr="00E727D6">
        <w:rPr>
          <w:rFonts w:ascii="Times New Roman" w:hAnsi="Times New Roman"/>
          <w:sz w:val="18"/>
          <w:szCs w:val="18"/>
        </w:rPr>
        <w:t xml:space="preserve"> </w:t>
      </w:r>
    </w:p>
  </w:footnote>
  <w:footnote w:id="5">
    <w:p w14:paraId="01B09C3D" w14:textId="77777777" w:rsidR="009D560B" w:rsidRPr="00E727D6" w:rsidRDefault="009D560B" w:rsidP="009D560B">
      <w:pPr>
        <w:pStyle w:val="FootnoteText"/>
        <w:tabs>
          <w:tab w:val="left" w:pos="90"/>
          <w:tab w:val="left" w:pos="180"/>
          <w:tab w:val="left" w:pos="270"/>
        </w:tabs>
        <w:jc w:val="both"/>
        <w:rPr>
          <w:rFonts w:ascii="Times New Roman" w:hAnsi="Times New Roman"/>
        </w:rPr>
      </w:pPr>
      <w:r w:rsidRPr="00E727D6">
        <w:rPr>
          <w:rStyle w:val="FootnoteReference"/>
          <w:rFonts w:ascii="Times New Roman" w:hAnsi="Times New Roman"/>
          <w:sz w:val="18"/>
          <w:szCs w:val="18"/>
        </w:rPr>
        <w:footnoteRef/>
      </w:r>
      <w:r w:rsidRPr="00E727D6">
        <w:rPr>
          <w:rFonts w:ascii="Times New Roman" w:hAnsi="Times New Roman"/>
          <w:sz w:val="18"/>
          <w:szCs w:val="18"/>
        </w:rPr>
        <w:t xml:space="preserve"> S</w:t>
      </w:r>
      <w:r>
        <w:rPr>
          <w:rFonts w:ascii="Times New Roman" w:hAnsi="Times New Roman"/>
          <w:sz w:val="18"/>
          <w:szCs w:val="18"/>
        </w:rPr>
        <w:t>ee</w:t>
      </w:r>
      <w:r w:rsidRPr="00E727D6">
        <w:rPr>
          <w:rFonts w:ascii="Times New Roman" w:hAnsi="Times New Roman"/>
          <w:sz w:val="18"/>
          <w:szCs w:val="18"/>
        </w:rPr>
        <w:t xml:space="preserve">: </w:t>
      </w:r>
      <w:hyperlink r:id="rId3" w:history="1">
        <w:r w:rsidRPr="00E727D6">
          <w:rPr>
            <w:rStyle w:val="Hyperlink"/>
            <w:rFonts w:ascii="Times New Roman" w:hAnsi="Times New Roman"/>
            <w:color w:val="293D3D"/>
            <w:sz w:val="18"/>
            <w:szCs w:val="18"/>
          </w:rPr>
          <w:t>https://www.bankofalbania.org/Tregjet/Kursi_zyrtar_i_kembimit/Arkiva_e_kursit_te_kembimit/</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368F"/>
    <w:multiLevelType w:val="multilevel"/>
    <w:tmpl w:val="AE58F844"/>
    <w:lvl w:ilvl="0">
      <w:start w:val="1"/>
      <w:numFmt w:val="decimal"/>
      <w:lvlText w:val="%1."/>
      <w:lvlJc w:val="left"/>
      <w:pPr>
        <w:ind w:left="1080" w:hanging="360"/>
      </w:pPr>
      <w:rPr>
        <w:rFonts w:hint="default"/>
        <w:color w:val="auto"/>
        <w:sz w:val="20"/>
        <w:szCs w:val="20"/>
        <w:vertAlign w:val="baseline"/>
      </w:rPr>
    </w:lvl>
    <w:lvl w:ilvl="1">
      <w:start w:val="3"/>
      <w:numFmt w:val="decimal"/>
      <w:isLgl/>
      <w:lvlText w:val="%1.%2."/>
      <w:lvlJc w:val="left"/>
      <w:pPr>
        <w:ind w:left="930" w:hanging="480"/>
      </w:pPr>
      <w:rPr>
        <w:rFonts w:hint="default"/>
        <w:b/>
        <w:color w:val="000000"/>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1" w15:restartNumberingAfterBreak="0">
    <w:nsid w:val="31F70FEB"/>
    <w:multiLevelType w:val="hybridMultilevel"/>
    <w:tmpl w:val="2ED4E5C6"/>
    <w:lvl w:ilvl="0" w:tplc="6B7843B4">
      <w:start w:val="1"/>
      <w:numFmt w:val="lowerLetter"/>
      <w:lvlText w:val="%1)"/>
      <w:lvlJc w:val="left"/>
      <w:pPr>
        <w:ind w:left="1254" w:hanging="360"/>
      </w:pPr>
      <w:rPr>
        <w:rFonts w:hint="default"/>
        <w:b/>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2" w15:restartNumberingAfterBreak="0">
    <w:nsid w:val="437C23AA"/>
    <w:multiLevelType w:val="hybridMultilevel"/>
    <w:tmpl w:val="CA56CD62"/>
    <w:lvl w:ilvl="0" w:tplc="ABFA3164">
      <w:start w:val="1"/>
      <w:numFmt w:val="lowerLetter"/>
      <w:lvlText w:val="%1)"/>
      <w:lvlJc w:val="left"/>
      <w:pPr>
        <w:ind w:left="720" w:hanging="720"/>
      </w:pPr>
      <w:rPr>
        <w:rFonts w:hint="default"/>
        <w:b w:val="0"/>
        <w:i/>
        <w:color w:val="305250"/>
        <w:sz w:val="20"/>
        <w:szCs w:val="20"/>
        <w:u w:val="none"/>
      </w:rPr>
    </w:lvl>
    <w:lvl w:ilvl="1" w:tplc="04090019">
      <w:start w:val="1"/>
      <w:numFmt w:val="lowerLetter"/>
      <w:lvlText w:val="%2."/>
      <w:lvlJc w:val="left"/>
      <w:pPr>
        <w:ind w:left="-540" w:hanging="360"/>
      </w:pPr>
    </w:lvl>
    <w:lvl w:ilvl="2" w:tplc="0409001B">
      <w:start w:val="1"/>
      <w:numFmt w:val="lowerRoman"/>
      <w:lvlText w:val="%3."/>
      <w:lvlJc w:val="right"/>
      <w:pPr>
        <w:ind w:left="180" w:hanging="180"/>
      </w:pPr>
    </w:lvl>
    <w:lvl w:ilvl="3" w:tplc="DA2A258C">
      <w:start w:val="1"/>
      <w:numFmt w:val="lowerLetter"/>
      <w:lvlText w:val="%4)"/>
      <w:lvlJc w:val="left"/>
      <w:pPr>
        <w:ind w:left="900" w:hanging="360"/>
      </w:pPr>
      <w:rPr>
        <w:rFonts w:hint="default"/>
        <w:b w:val="0"/>
        <w:i/>
        <w:color w:val="305250"/>
        <w:sz w:val="20"/>
        <w:szCs w:val="20"/>
      </w:r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3" w15:restartNumberingAfterBreak="0">
    <w:nsid w:val="47D33280"/>
    <w:multiLevelType w:val="hybridMultilevel"/>
    <w:tmpl w:val="DDBE6008"/>
    <w:lvl w:ilvl="0" w:tplc="FE3A8506">
      <w:start w:val="8"/>
      <w:numFmt w:val="bullet"/>
      <w:lvlText w:val="-"/>
      <w:lvlJc w:val="left"/>
      <w:pPr>
        <w:ind w:left="1080" w:hanging="360"/>
      </w:pPr>
      <w:rPr>
        <w:rFonts w:ascii="Times New Roman" w:hAnsi="Times New Roman" w:cs="Times New Roman" w:hint="default"/>
        <w:b w:val="0"/>
        <w:i w:val="0"/>
        <w:color w:val="318B70"/>
        <w:sz w:val="20"/>
        <w:szCs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3900050">
    <w:abstractNumId w:val="3"/>
  </w:num>
  <w:num w:numId="2" w16cid:durableId="391121940">
    <w:abstractNumId w:val="0"/>
  </w:num>
  <w:num w:numId="3" w16cid:durableId="990132154">
    <w:abstractNumId w:val="1"/>
  </w:num>
  <w:num w:numId="4" w16cid:durableId="1441415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73"/>
    <w:rsid w:val="0009394C"/>
    <w:rsid w:val="003A7DED"/>
    <w:rsid w:val="00526D89"/>
    <w:rsid w:val="007B42F5"/>
    <w:rsid w:val="00981F73"/>
    <w:rsid w:val="009D560B"/>
    <w:rsid w:val="00B853FD"/>
    <w:rsid w:val="00C95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5538"/>
  <w15:chartTrackingRefBased/>
  <w15:docId w15:val="{4B9CCDC2-74DD-465F-90BB-FAB33605E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F73"/>
    <w:pPr>
      <w:spacing w:after="120" w:line="276" w:lineRule="auto"/>
    </w:pPr>
    <w:rPr>
      <w:rFonts w:ascii="Calibri" w:eastAsia="MS Mincho" w:hAnsi="Calibri" w:cs="Times New Roman"/>
      <w:kern w:val="0"/>
      <w14:ligatures w14:val="none"/>
    </w:rPr>
  </w:style>
  <w:style w:type="paragraph" w:styleId="Heading1">
    <w:name w:val="heading 1"/>
    <w:basedOn w:val="Normal"/>
    <w:next w:val="Normal"/>
    <w:link w:val="Heading1Char"/>
    <w:uiPriority w:val="9"/>
    <w:qFormat/>
    <w:rsid w:val="00981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F73"/>
    <w:rPr>
      <w:rFonts w:eastAsiaTheme="majorEastAsia" w:cstheme="majorBidi"/>
      <w:color w:val="272727" w:themeColor="text1" w:themeTint="D8"/>
    </w:rPr>
  </w:style>
  <w:style w:type="paragraph" w:styleId="Title">
    <w:name w:val="Title"/>
    <w:basedOn w:val="Normal"/>
    <w:next w:val="Normal"/>
    <w:link w:val="TitleChar"/>
    <w:uiPriority w:val="10"/>
    <w:qFormat/>
    <w:rsid w:val="00981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F73"/>
    <w:pPr>
      <w:spacing w:before="160"/>
      <w:jc w:val="center"/>
    </w:pPr>
    <w:rPr>
      <w:i/>
      <w:iCs/>
      <w:color w:val="404040" w:themeColor="text1" w:themeTint="BF"/>
    </w:rPr>
  </w:style>
  <w:style w:type="character" w:customStyle="1" w:styleId="QuoteChar">
    <w:name w:val="Quote Char"/>
    <w:basedOn w:val="DefaultParagraphFont"/>
    <w:link w:val="Quote"/>
    <w:uiPriority w:val="29"/>
    <w:rsid w:val="00981F73"/>
    <w:rPr>
      <w:i/>
      <w:iCs/>
      <w:color w:val="404040" w:themeColor="text1" w:themeTint="BF"/>
    </w:rPr>
  </w:style>
  <w:style w:type="paragraph" w:styleId="ListParagraph">
    <w:name w:val="List Paragraph"/>
    <w:basedOn w:val="Normal"/>
    <w:link w:val="ListParagraphChar"/>
    <w:uiPriority w:val="34"/>
    <w:qFormat/>
    <w:rsid w:val="00981F73"/>
    <w:pPr>
      <w:ind w:left="720"/>
      <w:contextualSpacing/>
    </w:pPr>
  </w:style>
  <w:style w:type="character" w:styleId="IntenseEmphasis">
    <w:name w:val="Intense Emphasis"/>
    <w:basedOn w:val="DefaultParagraphFont"/>
    <w:uiPriority w:val="21"/>
    <w:qFormat/>
    <w:rsid w:val="00981F73"/>
    <w:rPr>
      <w:i/>
      <w:iCs/>
      <w:color w:val="2F5496" w:themeColor="accent1" w:themeShade="BF"/>
    </w:rPr>
  </w:style>
  <w:style w:type="paragraph" w:styleId="IntenseQuote">
    <w:name w:val="Intense Quote"/>
    <w:basedOn w:val="Normal"/>
    <w:next w:val="Normal"/>
    <w:link w:val="IntenseQuoteChar"/>
    <w:uiPriority w:val="30"/>
    <w:qFormat/>
    <w:rsid w:val="00981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F73"/>
    <w:rPr>
      <w:i/>
      <w:iCs/>
      <w:color w:val="2F5496" w:themeColor="accent1" w:themeShade="BF"/>
    </w:rPr>
  </w:style>
  <w:style w:type="character" w:styleId="IntenseReference">
    <w:name w:val="Intense Reference"/>
    <w:basedOn w:val="DefaultParagraphFont"/>
    <w:uiPriority w:val="32"/>
    <w:qFormat/>
    <w:rsid w:val="00981F73"/>
    <w:rPr>
      <w:b/>
      <w:bCs/>
      <w:smallCaps/>
      <w:color w:val="2F5496" w:themeColor="accent1" w:themeShade="BF"/>
      <w:spacing w:val="5"/>
    </w:rPr>
  </w:style>
  <w:style w:type="character" w:styleId="Hyperlink">
    <w:name w:val="Hyperlink"/>
    <w:uiPriority w:val="99"/>
    <w:unhideWhenUsed/>
    <w:rsid w:val="00981F73"/>
    <w:rPr>
      <w:color w:val="6EAC1C"/>
      <w:u w:val="single"/>
    </w:rPr>
  </w:style>
  <w:style w:type="paragraph" w:styleId="FootnoteText">
    <w:name w:val="footnote text"/>
    <w:aliases w:val="Footnote Text Char1 Char Char Char,Footnote Text Char Char Char Char Char,single space,footnote text,fn,FOOTNOTES,Footnote Text Char2 Char,Footnote Text Char1 Char Char,Footnote Text Char2 Char Char Char,Char1,Car,Char Char"/>
    <w:basedOn w:val="Normal"/>
    <w:link w:val="FootnoteTextChar"/>
    <w:uiPriority w:val="99"/>
    <w:unhideWhenUsed/>
    <w:rsid w:val="00981F73"/>
    <w:pPr>
      <w:spacing w:after="0" w:line="240" w:lineRule="auto"/>
    </w:pPr>
    <w:rPr>
      <w:sz w:val="20"/>
      <w:szCs w:val="20"/>
    </w:rPr>
  </w:style>
  <w:style w:type="character" w:customStyle="1" w:styleId="FootnoteTextChar">
    <w:name w:val="Footnote Text Char"/>
    <w:aliases w:val="Footnote Text Char1 Char Char Char Char,Footnote Text Char Char Char Char Char Char,single space Char,footnote text Char,fn Char,FOOTNOTES Char,Footnote Text Char2 Char Char,Footnote Text Char1 Char Char Char1,Char1 Char,Car Char"/>
    <w:basedOn w:val="DefaultParagraphFont"/>
    <w:link w:val="FootnoteText"/>
    <w:uiPriority w:val="99"/>
    <w:rsid w:val="00981F73"/>
    <w:rPr>
      <w:rFonts w:ascii="Calibri" w:eastAsia="MS Mincho" w:hAnsi="Calibri" w:cs="Times New Roman"/>
      <w:kern w:val="0"/>
      <w:sz w:val="20"/>
      <w:szCs w:val="20"/>
      <w14:ligatures w14:val="none"/>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981F73"/>
    <w:rPr>
      <w:vertAlign w:val="superscript"/>
    </w:rPr>
  </w:style>
  <w:style w:type="paragraph" w:customStyle="1" w:styleId="Char2">
    <w:name w:val="Char2"/>
    <w:basedOn w:val="Normal"/>
    <w:link w:val="FootnoteReference"/>
    <w:uiPriority w:val="99"/>
    <w:rsid w:val="00981F73"/>
    <w:pPr>
      <w:spacing w:after="160" w:line="240" w:lineRule="exact"/>
    </w:pPr>
    <w:rPr>
      <w:rFonts w:asciiTheme="minorHAnsi" w:eastAsiaTheme="minorHAnsi" w:hAnsiTheme="minorHAnsi" w:cstheme="minorBidi"/>
      <w:kern w:val="2"/>
      <w:vertAlign w:val="superscript"/>
      <w14:ligatures w14:val="standardContextual"/>
    </w:rPr>
  </w:style>
  <w:style w:type="character" w:customStyle="1" w:styleId="ListParagraphChar">
    <w:name w:val="List Paragraph Char"/>
    <w:link w:val="ListParagraph"/>
    <w:uiPriority w:val="34"/>
    <w:locked/>
    <w:rsid w:val="00981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bankofalbania.org/Tregjet/Kursi_zyrtar_i_kembimit/Arkiva_e_kursit_te_kembimit/" TargetMode="External"/><Relationship Id="rId2" Type="http://schemas.openxmlformats.org/officeDocument/2006/relationships/hyperlink" Target="http://www.instat.gov.al/al/temat/kushtet-sociale/anketa-e-matjes-s%C3%AB-nivelit-t%C3%AB-jetes%C3%ABs/" TargetMode="External"/><Relationship Id="rId1" Type="http://schemas.openxmlformats.org/officeDocument/2006/relationships/hyperlink" Target="http://www.instat.gov.al/al/temat/kushtet-sociale/anketa-e-buxhetit-t%C3%AB-familj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2025-03-06T13:21:00Z</dcterms:created>
  <dcterms:modified xsi:type="dcterms:W3CDTF">2025-03-06T13:23:00Z</dcterms:modified>
</cp:coreProperties>
</file>