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42"/>
          <w:szCs w:val="4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42"/>
          <w:szCs w:val="42"/>
          <w:rtl w:val="0"/>
        </w:rPr>
        <w:t xml:space="preserve">Entrega </w:t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62"/>
          <w:szCs w:val="62"/>
          <w:u w:val="singl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62"/>
          <w:szCs w:val="62"/>
          <w:u w:val="single"/>
          <w:rtl w:val="0"/>
        </w:rPr>
        <w:t xml:space="preserve">Proyecto Sol Norte</w:t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62"/>
          <w:szCs w:val="62"/>
          <w:u w:val="singl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62"/>
          <w:szCs w:val="62"/>
          <w:u w:val="single"/>
          <w:rtl w:val="0"/>
        </w:rPr>
        <w:t xml:space="preserve">Información para el DBA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Merriweather Light" w:cs="Merriweather Light" w:eastAsia="Merriweather Light" w:hAnsi="Merriweather Light"/>
          <w:sz w:val="62"/>
          <w:szCs w:val="6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Merriweather Light" w:cs="Merriweather Light" w:eastAsia="Merriweather Light" w:hAnsi="Merriweather Light"/>
          <w:sz w:val="62"/>
          <w:szCs w:val="6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Merriweather Light" w:cs="Merriweather Light" w:eastAsia="Merriweather Light" w:hAnsi="Merriweather Light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  <w:rtl w:val="0"/>
        </w:rPr>
        <w:t xml:space="preserve">Fecha de presentación:  27/06/2025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  <w:rtl w:val="0"/>
        </w:rPr>
        <w:t xml:space="preserve">Grupo: 11 </w:t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  <w:rtl w:val="0"/>
        </w:rPr>
        <w:br w:type="textWrapping"/>
        <w:t xml:space="preserve">Integrantes: </w:t>
      </w:r>
    </w:p>
    <w:p w:rsidR="00000000" w:rsidDel="00000000" w:rsidP="00000000" w:rsidRDefault="00000000" w:rsidRPr="00000000" w14:paraId="0000000C">
      <w:pPr>
        <w:spacing w:after="200" w:line="240" w:lineRule="auto"/>
        <w:ind w:firstLine="720"/>
        <w:rPr>
          <w:rFonts w:ascii="Merriweather Light" w:cs="Merriweather Light" w:eastAsia="Merriweather Light" w:hAnsi="Merriweather Light"/>
          <w:sz w:val="30"/>
          <w:szCs w:val="3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0"/>
          <w:szCs w:val="30"/>
          <w:rtl w:val="0"/>
        </w:rPr>
        <w:t xml:space="preserve">Varela, Lucas Sebastián</w:t>
        <w:tab/>
        <w:tab/>
        <w:tab/>
        <w:t xml:space="preserve">36.756.277</w:t>
      </w:r>
    </w:p>
    <w:p w:rsidR="00000000" w:rsidDel="00000000" w:rsidP="00000000" w:rsidRDefault="00000000" w:rsidRPr="00000000" w14:paraId="0000000D">
      <w:pPr>
        <w:spacing w:after="200" w:line="240" w:lineRule="auto"/>
        <w:ind w:left="0" w:firstLine="720"/>
        <w:rPr>
          <w:rFonts w:ascii="Merriweather Light" w:cs="Merriweather Light" w:eastAsia="Merriweather Light" w:hAnsi="Merriweather Light"/>
          <w:sz w:val="30"/>
          <w:szCs w:val="3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0"/>
          <w:szCs w:val="30"/>
          <w:rtl w:val="0"/>
        </w:rPr>
        <w:t xml:space="preserve">Pizzi, Matías Nahuel</w:t>
        <w:tab/>
        <w:tab/>
        <w:tab/>
        <w:tab/>
        <w:t xml:space="preserve">43.779.349</w:t>
      </w:r>
    </w:p>
    <w:p w:rsidR="00000000" w:rsidDel="00000000" w:rsidP="00000000" w:rsidRDefault="00000000" w:rsidRPr="00000000" w14:paraId="0000000E">
      <w:pPr>
        <w:spacing w:after="200" w:line="240" w:lineRule="auto"/>
        <w:ind w:firstLine="720"/>
        <w:rPr>
          <w:rFonts w:ascii="Merriweather Light" w:cs="Merriweather Light" w:eastAsia="Merriweather Light" w:hAnsi="Merriweather Light"/>
          <w:sz w:val="30"/>
          <w:szCs w:val="3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0"/>
          <w:szCs w:val="30"/>
          <w:rtl w:val="0"/>
        </w:rPr>
        <w:t xml:space="preserve">Módica, Elián Ariel</w:t>
        <w:tab/>
        <w:tab/>
        <w:tab/>
        <w:tab/>
        <w:t xml:space="preserve">42.905.229</w:t>
      </w:r>
    </w:p>
    <w:p w:rsidR="00000000" w:rsidDel="00000000" w:rsidP="00000000" w:rsidRDefault="00000000" w:rsidRPr="00000000" w14:paraId="0000000F">
      <w:pPr>
        <w:spacing w:after="200" w:line="240" w:lineRule="auto"/>
        <w:ind w:firstLine="720"/>
        <w:rPr>
          <w:rFonts w:ascii="Merriweather Light" w:cs="Merriweather Light" w:eastAsia="Merriweather Light" w:hAnsi="Merriweather Ligh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60" w:lineRule="auto"/>
        <w:rPr>
          <w:rFonts w:ascii="Merriweather Light" w:cs="Merriweather Light" w:eastAsia="Merriweather Light" w:hAnsi="Merriweather Light"/>
          <w:sz w:val="32"/>
          <w:szCs w:val="3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3045150</wp:posOffset>
            </wp:positionH>
            <wp:positionV relativeFrom="margin">
              <wp:posOffset>7596375</wp:posOffset>
            </wp:positionV>
            <wp:extent cx="1262063" cy="126206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262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erriweather Light" w:cs="Merriweather Light" w:eastAsia="Merriweather Light" w:hAnsi="Merriweather Light"/>
          <w:sz w:val="32"/>
          <w:szCs w:val="3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1371600</wp:posOffset>
            </wp:positionH>
            <wp:positionV relativeFrom="margin">
              <wp:posOffset>7767825</wp:posOffset>
            </wp:positionV>
            <wp:extent cx="1338263" cy="928344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9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Información para el DBA: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DBMS: Microsoft SQL Server 2022 Developer Edition</w:t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SO: Windows 10 Pro 64-bit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Responsable de la Instalación: Grupo 11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Instalador: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SQL2022-SSEI-Expr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Instalación nueva, limpia.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Nombre instancia: SQLEXPRESS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Nombre de la BD: Com5600G11</w:t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ROWS 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C:\Program Files\Microsoft SQL Server\MSSQL16.SQLEXPRESS\MSSQL\DATA\Com5600G11.mdf</w:t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LOG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C:\Program Files\Microsoft SQL Server\MSSQL16.SQLEXPRESS\MSSQL\DATA\Com5600G11_log.ldf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Memoria asignada:</w:t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Mínimo 4096 MB</w:t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Máximo 16384MB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Puerto TCP por defecto 1433. Se habilitó este puerto en el firewall.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Configurar instancia para habilitar conexiones remotas.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Habilitar el protocolo TCP/IP para la instancia. Deshabilitar IPs dinámicas y fijar el puerto de conexión. Aplicar y reiniciar la instancia.</w:t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403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Habilitar puerto en el firewall como regla de entrada para el puerto 1433 y para el ejecutable del motor</w:t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2257425" cy="49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microsoft.com/es-ar/sql-server/sql-server-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