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 w:rsidR="00B553DF">
        <w:rPr>
          <w:rFonts w:ascii="Calibri" w:hAnsi="Calibri" w:cs="Calibri"/>
          <w:lang w:val="es-AR"/>
        </w:rPr>
        <w:t>GAF</w:t>
      </w:r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4B1C4D" w:rsidRDefault="0040314A" w:rsidP="0040314A">
      <w:pPr>
        <w:jc w:val="right"/>
        <w:rPr>
          <w:rFonts w:ascii="Calibri" w:hAnsi="Calibri" w:cs="Calibri"/>
        </w:rPr>
      </w:pPr>
      <w:r w:rsidRPr="0040314A">
        <w:rPr>
          <w:rFonts w:ascii="Calibri" w:eastAsia="Times New Roman" w:hAnsi="Calibri" w:cs="Calibri"/>
          <w:b/>
          <w:sz w:val="36"/>
          <w:szCs w:val="20"/>
        </w:rPr>
        <w:t xml:space="preserve">Gestión de </w:t>
      </w:r>
      <w:r w:rsidR="00B553DF">
        <w:rPr>
          <w:rFonts w:ascii="Calibri" w:eastAsia="Times New Roman" w:hAnsi="Calibri" w:cs="Calibri"/>
          <w:b/>
          <w:sz w:val="36"/>
          <w:szCs w:val="20"/>
        </w:rPr>
        <w:t>Fallas</w:t>
      </w:r>
    </w:p>
    <w:p w:rsidR="00B553DF" w:rsidRDefault="0040314A" w:rsidP="0040314A">
      <w:pPr>
        <w:pStyle w:val="Title"/>
        <w:ind w:left="1440" w:firstLine="720"/>
        <w:jc w:val="right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fldChar w:fldCharType="begin"/>
      </w:r>
      <w:r w:rsidRPr="009F3453">
        <w:rPr>
          <w:rFonts w:ascii="Calibri" w:hAnsi="Calibri" w:cs="Calibri"/>
          <w:lang w:val="es-AR"/>
        </w:rPr>
        <w:instrText xml:space="preserve"> SUBJECT   \* MERGEFORMAT </w:instrText>
      </w:r>
      <w:r w:rsidRPr="009F3453">
        <w:rPr>
          <w:rFonts w:ascii="Calibri" w:hAnsi="Calibri" w:cs="Calibri"/>
          <w:lang w:val="es-AR"/>
        </w:rPr>
        <w:fldChar w:fldCharType="separate"/>
      </w:r>
      <w:proofErr w:type="spellStart"/>
      <w:r>
        <w:rPr>
          <w:rFonts w:ascii="Calibri" w:hAnsi="Calibri" w:cs="Calibri"/>
          <w:lang w:val="es-AR"/>
        </w:rPr>
        <w:t>Technical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Documentation</w:t>
      </w:r>
      <w:proofErr w:type="spellEnd"/>
      <w:r w:rsidRPr="009F3453">
        <w:rPr>
          <w:rFonts w:ascii="Calibri" w:hAnsi="Calibri" w:cs="Calibri"/>
          <w:lang w:val="es-AR"/>
        </w:rPr>
        <w:fldChar w:fldCharType="end"/>
      </w:r>
    </w:p>
    <w:p w:rsidR="0040314A" w:rsidRPr="00B553DF" w:rsidRDefault="00B553DF" w:rsidP="00B553DF">
      <w:pPr>
        <w:rPr>
          <w:rFonts w:ascii="Calibri" w:eastAsia="Times New Roman" w:hAnsi="Calibri" w:cs="Calibri"/>
          <w:b/>
          <w:sz w:val="36"/>
          <w:szCs w:val="20"/>
        </w:rPr>
      </w:pPr>
      <w:r>
        <w:rPr>
          <w:rFonts w:ascii="Calibri" w:hAnsi="Calibri" w:cs="Calibri"/>
        </w:rPr>
        <w:br w:type="page"/>
      </w:r>
    </w:p>
    <w:p w:rsidR="0040314A" w:rsidRDefault="0040314A" w:rsidP="00DB3AF6">
      <w:pPr>
        <w:rPr>
          <w:sz w:val="36"/>
          <w:szCs w:val="36"/>
        </w:rPr>
      </w:pP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D301FE" w:rsidP="00B553DF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15</w:t>
            </w:r>
            <w:r w:rsidRPr="009F3453">
              <w:rPr>
                <w:rFonts w:ascii="Calibri" w:hAnsi="Calibri" w:cs="Calibri"/>
                <w:lang w:val="es-AR"/>
              </w:rPr>
              <w:t>/0</w:t>
            </w:r>
            <w:r w:rsidR="00B553DF">
              <w:rPr>
                <w:rFonts w:ascii="Calibri" w:hAnsi="Calibri" w:cs="Calibri"/>
                <w:lang w:val="es-AR"/>
              </w:rPr>
              <w:t>6</w:t>
            </w:r>
            <w:r>
              <w:rPr>
                <w:rFonts w:ascii="Calibri" w:hAnsi="Calibri" w:cs="Calibri"/>
                <w:lang w:val="es-AR"/>
              </w:rPr>
              <w:t>/2017</w:t>
            </w:r>
            <w:r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FE7BF4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Gestión</w:t>
            </w:r>
            <w:bookmarkStart w:id="0" w:name="_GoBack"/>
            <w:bookmarkEnd w:id="0"/>
            <w:r>
              <w:rPr>
                <w:rFonts w:ascii="Calibri" w:hAnsi="Calibri" w:cs="Calibri"/>
                <w:lang w:val="es-AR"/>
              </w:rPr>
              <w:t xml:space="preserve"> de Fallas</w:t>
            </w:r>
          </w:p>
        </w:tc>
        <w:tc>
          <w:tcPr>
            <w:tcW w:w="2304" w:type="dxa"/>
          </w:tcPr>
          <w:p w:rsidR="00D301FE" w:rsidRPr="009F3453" w:rsidRDefault="00B553DF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Matias Ferreiro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Proposito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Servicio Desarrollado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2.1 Frecuencia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Componentes Desarrollados</w:t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="00A566D6">
        <w:rPr>
          <w:sz w:val="20"/>
          <w:szCs w:val="20"/>
        </w:rPr>
        <w:t>2</w:t>
      </w:r>
    </w:p>
    <w:p w:rsidR="0040314A" w:rsidRPr="0040314A" w:rsidRDefault="0040314A" w:rsidP="0040314A">
      <w:pPr>
        <w:ind w:left="720"/>
        <w:rPr>
          <w:sz w:val="20"/>
          <w:szCs w:val="20"/>
        </w:rPr>
      </w:pPr>
      <w:r w:rsidRPr="0040314A">
        <w:rPr>
          <w:sz w:val="20"/>
          <w:szCs w:val="20"/>
        </w:rPr>
        <w:t xml:space="preserve">3.1 </w:t>
      </w:r>
      <w:proofErr w:type="spellStart"/>
      <w:r w:rsidR="00A566D6">
        <w:rPr>
          <w:sz w:val="20"/>
          <w:szCs w:val="20"/>
        </w:rPr>
        <w:t>Metodos</w:t>
      </w:r>
      <w:proofErr w:type="spellEnd"/>
      <w:r w:rsidR="00A566D6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="00A566D6">
        <w:rPr>
          <w:sz w:val="20"/>
          <w:szCs w:val="20"/>
        </w:rPr>
        <w:t>2</w:t>
      </w:r>
    </w:p>
    <w:p w:rsidR="00A566D6" w:rsidRDefault="00A566D6" w:rsidP="0040314A">
      <w:pPr>
        <w:pStyle w:val="Title"/>
        <w:rPr>
          <w:lang w:val="es-AR"/>
        </w:rPr>
      </w:pPr>
    </w:p>
    <w:p w:rsidR="00A566D6" w:rsidRDefault="00A566D6" w:rsidP="0040314A">
      <w:pPr>
        <w:pStyle w:val="Title"/>
        <w:rPr>
          <w:lang w:val="es-AR"/>
        </w:rPr>
      </w:pPr>
    </w:p>
    <w:p w:rsidR="008517B8" w:rsidRDefault="008517B8" w:rsidP="008517B8"/>
    <w:p w:rsidR="008517B8" w:rsidRDefault="008517B8" w:rsidP="008517B8"/>
    <w:p w:rsidR="008517B8" w:rsidRPr="008517B8" w:rsidRDefault="008517B8" w:rsidP="008517B8"/>
    <w:p w:rsidR="00B553DF" w:rsidRDefault="00B553DF">
      <w:pPr>
        <w:rPr>
          <w:rFonts w:ascii="Arial" w:eastAsia="Times New Roman" w:hAnsi="Arial" w:cs="Times New Roman"/>
          <w:b/>
          <w:sz w:val="36"/>
          <w:szCs w:val="20"/>
        </w:rPr>
      </w:pPr>
      <w:r>
        <w:br w:type="page"/>
      </w:r>
    </w:p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1453A1" w:rsidRDefault="0040314A" w:rsidP="0040314A">
      <w:pPr>
        <w:pStyle w:val="Subtitle"/>
        <w:rPr>
          <w:lang w:val="es-AR"/>
        </w:rPr>
      </w:pPr>
      <w:r w:rsidRPr="0073203A">
        <w:rPr>
          <w:lang w:val="es-AR"/>
        </w:rPr>
        <w:t xml:space="preserve">Manual de Desarrollo – </w:t>
      </w:r>
      <w:r w:rsidRPr="0040314A">
        <w:rPr>
          <w:lang w:val="es-AR"/>
        </w:rPr>
        <w:t xml:space="preserve">Gestión de </w:t>
      </w:r>
      <w:r w:rsidR="00B553DF">
        <w:rPr>
          <w:lang w:val="es-AR"/>
        </w:rPr>
        <w:t>Fallas</w:t>
      </w:r>
    </w:p>
    <w:p w:rsidR="0040314A" w:rsidRPr="00BD7F77" w:rsidRDefault="0040314A" w:rsidP="0040314A">
      <w:pPr>
        <w:pStyle w:val="Heading1"/>
      </w:pPr>
      <w:bookmarkStart w:id="1" w:name="_Toc367085304"/>
      <w:r>
        <w:t>Introducción</w:t>
      </w:r>
      <w:bookmarkEnd w:id="1"/>
    </w:p>
    <w:p w:rsidR="0040314A" w:rsidRDefault="0040314A" w:rsidP="0040314A">
      <w:pPr>
        <w:pStyle w:val="Heading2"/>
      </w:pPr>
      <w:bookmarkStart w:id="2" w:name="_Toc367085305"/>
      <w:r>
        <w:t>Propósito</w:t>
      </w:r>
      <w:bookmarkEnd w:id="2"/>
    </w:p>
    <w:p w:rsidR="00FD491C" w:rsidRDefault="0040314A" w:rsidP="00FD491C">
      <w:r>
        <w:t>A través del presente documento se pretende documentar los desarrollos realizados para el requerimiento correspondiente a</w:t>
      </w:r>
      <w:r w:rsidR="00FD491C">
        <w:t>l</w:t>
      </w:r>
      <w:r>
        <w:t xml:space="preserve"> </w:t>
      </w:r>
      <w:r w:rsidR="00B553DF">
        <w:t>formulario de GAF.</w:t>
      </w:r>
    </w:p>
    <w:p w:rsidR="00FD491C" w:rsidRPr="00E551EC" w:rsidRDefault="00FD491C" w:rsidP="00FD491C">
      <w:pPr>
        <w:pStyle w:val="Heading1"/>
      </w:pPr>
      <w:r>
        <w:t>Servicio Desarrollado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Pr="003C2C8C" w:rsidRDefault="00A566D6" w:rsidP="003C2C8C">
      <w:pPr>
        <w:pStyle w:val="Heading2"/>
      </w:pPr>
      <w:r>
        <w:t>Métodos</w:t>
      </w:r>
    </w:p>
    <w:p w:rsidR="003C2C8C" w:rsidRDefault="00B553DF" w:rsidP="003C2C8C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Guardar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Lo</w:t>
      </w:r>
      <w:r>
        <w:rPr>
          <w:rFonts w:ascii="Calibri" w:hAnsi="Calibri" w:cs="Calibri"/>
          <w:lang w:val="es-ES"/>
        </w:rPr>
        <w:t xml:space="preserve"> primero que hace el formulario al guardar, es verificar que exista un responsable para los parámetros seleccionados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Pais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/Distrito/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TipoServicio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). </w:t>
      </w:r>
      <w:r>
        <w:rPr>
          <w:rFonts w:ascii="Calibri" w:hAnsi="Calibri" w:cs="Calibri"/>
          <w:lang w:val="es-ES"/>
        </w:rPr>
        <w:t>Esta validación se realiza ha</w:t>
      </w:r>
      <w:r>
        <w:rPr>
          <w:rFonts w:ascii="Calibri" w:hAnsi="Calibri" w:cs="Calibri"/>
          <w:lang w:val="es-ES"/>
        </w:rPr>
        <w:t xml:space="preserve">ciendo una llamada a la lista </w:t>
      </w:r>
      <w:proofErr w:type="spellStart"/>
      <w:r>
        <w:rPr>
          <w:rFonts w:ascii="Calibri" w:hAnsi="Calibri" w:cs="Calibri"/>
          <w:lang w:val="es-ES"/>
        </w:rPr>
        <w:t>Re</w:t>
      </w:r>
      <w:r>
        <w:rPr>
          <w:rFonts w:ascii="Calibri" w:hAnsi="Calibri" w:cs="Calibri"/>
          <w:lang w:val="es-ES"/>
        </w:rPr>
        <w:t>sponsablesGAF</w:t>
      </w:r>
      <w:proofErr w:type="spellEnd"/>
      <w:r>
        <w:rPr>
          <w:rFonts w:ascii="Calibri" w:hAnsi="Calibri" w:cs="Calibri"/>
          <w:lang w:val="es-ES"/>
        </w:rPr>
        <w:t xml:space="preserve"> en el sitio de configuración, pasándoles los parámetros anteriormente mencionados. Si no encuentra ningún responsable en la lista que </w:t>
      </w:r>
      <w:proofErr w:type="spellStart"/>
      <w:r>
        <w:rPr>
          <w:rFonts w:ascii="Calibri" w:hAnsi="Calibri" w:cs="Calibri"/>
          <w:lang w:val="es-ES"/>
        </w:rPr>
        <w:t>matchee</w:t>
      </w:r>
      <w:proofErr w:type="spellEnd"/>
      <w:r>
        <w:rPr>
          <w:rFonts w:ascii="Calibri" w:hAnsi="Calibri" w:cs="Calibri"/>
          <w:lang w:val="es-ES"/>
        </w:rPr>
        <w:t xml:space="preserve"> con los parámetros seleccionados, muestra un cartel de error indicándole esto al usuario y no guarda el formulario.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Luego, valida que la fecha fin no sea menor a la de inicio validando que las horas del campo Tiempo de Recuperación de las Fallas no sean menor a 0. Próximo, valida si la unidad operativa es "</w:t>
      </w:r>
      <w:proofErr w:type="spellStart"/>
      <w:r>
        <w:rPr>
          <w:rFonts w:ascii="Calibri" w:hAnsi="Calibri" w:cs="Calibri"/>
          <w:lang w:val="es-ES"/>
        </w:rPr>
        <w:t>EandP</w:t>
      </w:r>
      <w:proofErr w:type="spellEnd"/>
      <w:r>
        <w:rPr>
          <w:rFonts w:ascii="Calibri" w:hAnsi="Calibri" w:cs="Calibri"/>
          <w:lang w:val="es-ES"/>
        </w:rPr>
        <w:t>" y si el responsable de falla es operativa o ingeniería. Si cumplen estas condiciones, valida que no se repita la falla tres veces llamando al método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FallasDA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.RepiteTres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setteando</w:t>
      </w:r>
      <w:proofErr w:type="spellEnd"/>
      <w:r>
        <w:rPr>
          <w:rFonts w:ascii="Calibri" w:hAnsi="Calibri" w:cs="Calibri"/>
          <w:lang w:val="es-ES"/>
        </w:rPr>
        <w:t xml:space="preserve"> true o false dependiendo del resultado. Por último, si las últimas tres condiciones se cumplen, y el costo de mantenimiento no está vacío, </w:t>
      </w:r>
      <w:proofErr w:type="spellStart"/>
      <w:r>
        <w:rPr>
          <w:rFonts w:ascii="Calibri" w:hAnsi="Calibri" w:cs="Calibri"/>
          <w:lang w:val="es-ES"/>
        </w:rPr>
        <w:t>set</w:t>
      </w:r>
      <w:r>
        <w:rPr>
          <w:rFonts w:ascii="Calibri" w:hAnsi="Calibri" w:cs="Calibri"/>
          <w:lang w:val="es-ES"/>
        </w:rPr>
        <w:t>t</w:t>
      </w:r>
      <w:r>
        <w:rPr>
          <w:rFonts w:ascii="Calibri" w:hAnsi="Calibri" w:cs="Calibri"/>
          <w:lang w:val="es-ES"/>
        </w:rPr>
        <w:t>ea</w:t>
      </w:r>
      <w:proofErr w:type="spellEnd"/>
      <w:r>
        <w:rPr>
          <w:rFonts w:ascii="Calibri" w:hAnsi="Calibri" w:cs="Calibri"/>
          <w:lang w:val="es-ES"/>
        </w:rPr>
        <w:t xml:space="preserve"> un variable en true indicando que es </w:t>
      </w:r>
      <w:proofErr w:type="spellStart"/>
      <w:r>
        <w:rPr>
          <w:rFonts w:ascii="Calibri" w:hAnsi="Calibri" w:cs="Calibri"/>
          <w:lang w:val="es-ES"/>
        </w:rPr>
        <w:t>EandP</w:t>
      </w:r>
      <w:proofErr w:type="spellEnd"/>
      <w:r>
        <w:rPr>
          <w:rFonts w:ascii="Calibri" w:hAnsi="Calibri" w:cs="Calibri"/>
          <w:lang w:val="es-ES"/>
        </w:rPr>
        <w:t>, mantenimiento y operativa.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Siguiente, realiza una validación para disparar el </w:t>
      </w:r>
      <w:proofErr w:type="spellStart"/>
      <w:r>
        <w:rPr>
          <w:rFonts w:ascii="Calibri" w:hAnsi="Calibri" w:cs="Calibri"/>
          <w:lang w:val="es-ES"/>
        </w:rPr>
        <w:t>trigger</w:t>
      </w:r>
      <w:proofErr w:type="spellEnd"/>
      <w:r>
        <w:rPr>
          <w:rFonts w:ascii="Calibri" w:hAnsi="Calibri" w:cs="Calibri"/>
          <w:lang w:val="es-ES"/>
        </w:rPr>
        <w:t xml:space="preserve"> utilizando las variables anteriormente mencionadas (</w:t>
      </w:r>
      <w:proofErr w:type="spellStart"/>
      <w:r>
        <w:rPr>
          <w:rFonts w:ascii="Calibri" w:hAnsi="Calibri" w:cs="Calibri"/>
          <w:lang w:val="es-ES"/>
        </w:rPr>
        <w:t>repiteFallaEndPtres</w:t>
      </w:r>
      <w:proofErr w:type="spellEnd"/>
      <w:r>
        <w:rPr>
          <w:rFonts w:ascii="Calibri" w:hAnsi="Calibri" w:cs="Calibri"/>
          <w:lang w:val="es-ES"/>
        </w:rPr>
        <w:t xml:space="preserve"> y </w:t>
      </w:r>
      <w:proofErr w:type="spellStart"/>
      <w:r>
        <w:rPr>
          <w:rFonts w:ascii="Calibri" w:hAnsi="Calibri" w:cs="Calibri"/>
          <w:lang w:val="es-ES"/>
        </w:rPr>
        <w:t>esEandPMantOper</w:t>
      </w:r>
      <w:proofErr w:type="spellEnd"/>
      <w:r>
        <w:rPr>
          <w:rFonts w:ascii="Calibri" w:hAnsi="Calibri" w:cs="Calibri"/>
          <w:lang w:val="es-ES"/>
        </w:rPr>
        <w:t>).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Si cumple con estas condiciones, valida que el </w:t>
      </w:r>
      <w:proofErr w:type="spellStart"/>
      <w:r>
        <w:rPr>
          <w:rFonts w:ascii="Calibri" w:hAnsi="Calibri" w:cs="Calibri"/>
          <w:lang w:val="es-ES"/>
        </w:rPr>
        <w:t>idFalla</w:t>
      </w:r>
      <w:proofErr w:type="spellEnd"/>
      <w:r>
        <w:rPr>
          <w:rFonts w:ascii="Calibri" w:hAnsi="Calibri" w:cs="Calibri"/>
          <w:lang w:val="es-ES"/>
        </w:rPr>
        <w:t xml:space="preserve"> esa menor o igual a 0, si lo es realiza la lógica para crear una nueva falla. Se crea la nueva falla en la base de datos. 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Si la variable </w:t>
      </w:r>
      <w:proofErr w:type="spellStart"/>
      <w:r>
        <w:rPr>
          <w:rFonts w:ascii="Calibri" w:hAnsi="Calibri" w:cs="Calibri"/>
          <w:lang w:val="es-ES"/>
        </w:rPr>
        <w:t>repiteFallaEndPtres</w:t>
      </w:r>
      <w:proofErr w:type="spellEnd"/>
      <w:r>
        <w:rPr>
          <w:rFonts w:ascii="Calibri" w:hAnsi="Calibri" w:cs="Calibri"/>
          <w:lang w:val="es-ES"/>
        </w:rPr>
        <w:t xml:space="preserve"> es verdadera, entonces hace una llamada a las listas "</w:t>
      </w:r>
      <w:proofErr w:type="spellStart"/>
      <w:r>
        <w:rPr>
          <w:rFonts w:ascii="Calibri" w:hAnsi="Calibri" w:cs="Calibri"/>
          <w:lang w:val="es-ES"/>
        </w:rPr>
        <w:t>ResponsablesGAF</w:t>
      </w:r>
      <w:proofErr w:type="spellEnd"/>
      <w:r>
        <w:rPr>
          <w:rFonts w:ascii="Calibri" w:hAnsi="Calibri" w:cs="Calibri"/>
          <w:lang w:val="es-ES"/>
        </w:rPr>
        <w:t>" con los parámetros ya mencionados y con el costo de mantenimiento. Agrega a los originadores encontrados, y por último actualiza en la base de datos los responsables de la falla creada con los originadores encontrados.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 último, manda los avisos a los responsables del departamento.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Si no cumple con las condiciones del </w:t>
      </w:r>
      <w:proofErr w:type="spellStart"/>
      <w:r>
        <w:rPr>
          <w:rFonts w:ascii="Calibri" w:hAnsi="Calibri" w:cs="Calibri"/>
          <w:lang w:val="es-ES"/>
        </w:rPr>
        <w:t>trigger</w:t>
      </w:r>
      <w:proofErr w:type="spellEnd"/>
      <w:r>
        <w:rPr>
          <w:rFonts w:ascii="Calibri" w:hAnsi="Calibri" w:cs="Calibri"/>
          <w:lang w:val="es-ES"/>
        </w:rPr>
        <w:t>, simplemente se crea la falla en la base de datos, y se redirige al formulario agregando el nuevo id generado para que el usuario pueda ver el formulario.</w:t>
      </w:r>
    </w:p>
    <w:p w:rsidR="00B553DF" w:rsidRDefault="00B553DF" w:rsidP="00B553DF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 w:rsidRPr="00B553DF">
        <w:rPr>
          <w:rFonts w:ascii="Consolas" w:hAnsi="Consolas" w:cs="Consolas"/>
          <w:color w:val="000000"/>
          <w:sz w:val="19"/>
          <w:szCs w:val="19"/>
        </w:rPr>
        <w:lastRenderedPageBreak/>
        <w:t>Cambiar aprobador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Este botón simplemente actualiza la base de datos con el nuevo responsable ingresado y el id de la falla.</w:t>
      </w:r>
    </w:p>
    <w:p w:rsidR="00B553DF" w:rsidRDefault="00B553DF" w:rsidP="00B553DF">
      <w:pPr>
        <w:pStyle w:val="Heading3"/>
        <w:rPr>
          <w:highlight w:val="white"/>
          <w:lang w:val="es-ES"/>
        </w:rPr>
      </w:pPr>
      <w:r>
        <w:rPr>
          <w:highlight w:val="white"/>
          <w:lang w:val="es-ES"/>
        </w:rPr>
        <w:t>Enviar análisis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 valida primero que la fecha limite ingresada no sea menor a la actual, ya que debe ser mayor hasta 6 meses de la actual. Luego, se actualiza en la base de datos: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nuevo responsable ingresado con la fecha límite de análisis ingresada mediante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proc_QHSE_MAF_UpdateEnviarAnalisis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". Luego, se actualiza el estado del formulario a "en análisis". Por último, se envía el aviso al responsable del análisis.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B553DF" w:rsidRDefault="00B553DF" w:rsidP="00B553DF">
      <w:pPr>
        <w:pStyle w:val="Heading3"/>
        <w:rPr>
          <w:highlight w:val="white"/>
          <w:lang w:val="es-ES"/>
        </w:rPr>
      </w:pPr>
      <w:r>
        <w:rPr>
          <w:highlight w:val="white"/>
          <w:lang w:val="es-ES"/>
        </w:rPr>
        <w:t>Finalizar sin análisis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Se actualiza la base de datos mediante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proecdure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proc_QHSE_MAF_UpdateSinAnalisis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" con el comentario ingresado, y con el estado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 No requiere análisis. Se actualiza el estado del formulario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FinalizadoSinAnalisis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 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Por último, redirige al formulario de esa falla.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B553DF" w:rsidRDefault="00B553DF" w:rsidP="00B553DF">
      <w:pPr>
        <w:pStyle w:val="Heading3"/>
        <w:rPr>
          <w:highlight w:val="white"/>
          <w:lang w:val="es-ES"/>
        </w:rPr>
      </w:pPr>
      <w:r>
        <w:rPr>
          <w:highlight w:val="white"/>
          <w:lang w:val="es-ES"/>
        </w:rPr>
        <w:t>Guardar y</w:t>
      </w:r>
      <w:r>
        <w:rPr>
          <w:highlight w:val="white"/>
          <w:lang w:val="es-ES"/>
        </w:rPr>
        <w:t xml:space="preserve"> difundir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Primero, trae la falla de la base de datos. Si 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Rigs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enviar mail a GAF@sanantoniointernacional.com, si es E&amp;P enviar a GAFServicios@sanantoniointernacional.com. Luego, actualiza el estado del formulario a estado finalizado. 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Próximo, actualiza el comentario de rechazo con lo ingresado en el campo de texto del mismo. Por último, pone en estado abierto al AIL y envía las alertas.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softHyphen/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B553DF" w:rsidRDefault="00B553DF" w:rsidP="00B553DF">
      <w:pPr>
        <w:pStyle w:val="Heading3"/>
        <w:rPr>
          <w:highlight w:val="white"/>
          <w:lang w:val="es-ES"/>
        </w:rPr>
      </w:pPr>
      <w:r>
        <w:rPr>
          <w:highlight w:val="white"/>
          <w:lang w:val="es-ES"/>
        </w:rPr>
        <w:t>Enviar aprobación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Primero, se actualiza la metodología de investigación de la falla mediante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proc_QHSE_MAF_UpdateIdMetodologiaInvestigacion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". Trae de la base de datos las evidencias y los adjuntos de las metodologías utilizando los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proc_QHSE_MAF_GetEvidencias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" y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proc_QHSE_MAF_getAdjuntoMetodologia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". Actualiza las evidencias y los adjuntos con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los ingresados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en el formulario, y los guarda en base de datos con lo agregado. Si la metodología elegida es "Otra", se guarda el texto que se debe especificar en este caso. 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Luego, actualiza el estado del formulario a Enviado para aprobación. Por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último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 envían los mails para el responsable del departamento o los responsables si son más de uno, para la aprobación de la falla.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B553DF" w:rsidRDefault="00B553DF">
      <w:pP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br w:type="page"/>
      </w:r>
    </w:p>
    <w:p w:rsidR="00B553DF" w:rsidRDefault="00B553DF" w:rsidP="00B553DF">
      <w:pPr>
        <w:pStyle w:val="Heading3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Nuevo AIL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Simplemente redirige al usuario al formulario de AIL con los siguientes parámetros especificados: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IdFalla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país, distrito y región. 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Nota: la ruta esta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hardcodeada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: 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/corp/ailV2/_layouts/FormServer.aspx?XsnLocation=/FormServerTemplates/AILOnline2011Published.xsn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"</w:t>
      </w:r>
    </w:p>
    <w:p w:rsidR="00B553DF" w:rsidRDefault="00B553DF" w:rsidP="00B553D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B553DF" w:rsidRPr="00B553DF" w:rsidRDefault="00B553DF" w:rsidP="00B553DF">
      <w:pPr>
        <w:rPr>
          <w:lang w:val="es-ES"/>
        </w:rPr>
      </w:pPr>
    </w:p>
    <w:p w:rsidR="00B553DF" w:rsidRPr="00B553DF" w:rsidRDefault="00B553DF" w:rsidP="00B553DF">
      <w:pPr>
        <w:rPr>
          <w:lang w:val="es-ES"/>
        </w:rPr>
      </w:pPr>
    </w:p>
    <w:p w:rsidR="00DB3AF6" w:rsidRPr="0040314A" w:rsidRDefault="00DB3AF6" w:rsidP="00DB3AF6">
      <w:pPr>
        <w:rPr>
          <w:sz w:val="20"/>
          <w:szCs w:val="20"/>
        </w:rPr>
      </w:pPr>
    </w:p>
    <w:sectPr w:rsidR="00DB3AF6" w:rsidRPr="0040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2C7554"/>
    <w:rsid w:val="003C2C8C"/>
    <w:rsid w:val="0040314A"/>
    <w:rsid w:val="004332BA"/>
    <w:rsid w:val="0051587E"/>
    <w:rsid w:val="005337A9"/>
    <w:rsid w:val="0056483A"/>
    <w:rsid w:val="005F5C8F"/>
    <w:rsid w:val="007F04EC"/>
    <w:rsid w:val="00826839"/>
    <w:rsid w:val="00835A4D"/>
    <w:rsid w:val="008517B8"/>
    <w:rsid w:val="0086622B"/>
    <w:rsid w:val="00887451"/>
    <w:rsid w:val="008E52C0"/>
    <w:rsid w:val="00901ACD"/>
    <w:rsid w:val="009F0A7C"/>
    <w:rsid w:val="00A566D6"/>
    <w:rsid w:val="00AC4902"/>
    <w:rsid w:val="00AF1AF2"/>
    <w:rsid w:val="00B553DF"/>
    <w:rsid w:val="00B96A25"/>
    <w:rsid w:val="00C578D2"/>
    <w:rsid w:val="00C71148"/>
    <w:rsid w:val="00CB5257"/>
    <w:rsid w:val="00D00E6E"/>
    <w:rsid w:val="00D301FE"/>
    <w:rsid w:val="00DB3AF6"/>
    <w:rsid w:val="00DC3E3C"/>
    <w:rsid w:val="00DE4842"/>
    <w:rsid w:val="00E7381A"/>
    <w:rsid w:val="00E74B19"/>
    <w:rsid w:val="00F1104D"/>
    <w:rsid w:val="00F9181B"/>
    <w:rsid w:val="00FD491C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93AEA-DD51-486D-8816-E2710AEB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Matias Alejo Ferreiro</cp:lastModifiedBy>
  <cp:revision>12</cp:revision>
  <dcterms:created xsi:type="dcterms:W3CDTF">2017-05-11T14:05:00Z</dcterms:created>
  <dcterms:modified xsi:type="dcterms:W3CDTF">2017-06-21T12:36:00Z</dcterms:modified>
</cp:coreProperties>
</file>