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D28D9"/>
          <w:sz w:val="40"/>
        </w:rPr>
        <w:t>SOUND TRAVEL · Matriz de cumplimiento académico</w:t>
      </w:r>
    </w:p>
    <w:p>
      <w:r>
        <w:rPr>
          <w:i w:val="0"/>
        </w:rPr>
        <w:t>GTD404 · Unidad 2 · Relación entre los criterios de la guía, las diapositivas y los expositores</w:t>
      </w:r>
    </w:p>
    <w:p>
      <w:r>
        <w:rPr>
          <w:i/>
        </w:rPr>
        <w:t>Advertencia: la guía remite a un instrumento de evaluación disponible en AAI que no fue entregado. Esta matriz se construyó con los criterios explícitos de la guía; no es posible garantizar el cumplimiento de indicadores adicionales de esa rúbrica.</w:t>
      </w:r>
    </w:p>
    <w:p>
      <w:pPr>
        <w:pStyle w:val="Heading1"/>
      </w:pPr>
      <w:r>
        <w:t>1. Matriz de verificación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3628"/>
        <w:gridCol w:w="1134"/>
        <w:gridCol w:w="963"/>
        <w:gridCol w:w="2381"/>
      </w:tblGrid>
      <w:tr>
        <w:trPr>
          <w:tblHeader w:val="true"/>
        </w:trPr>
        <w:tc>
          <w:tcPr>
            <w:tcW w:type="dxa" w:w="96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62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Evidencia requerida</w:t>
            </w:r>
          </w:p>
        </w:tc>
        <w:tc>
          <w:tcPr>
            <w:tcW w:type="dxa" w:w="113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Diapositiva</w:t>
            </w:r>
          </w:p>
        </w:tc>
        <w:tc>
          <w:tcPr>
            <w:tcW w:type="dxa" w:w="96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Expositor</w:t>
            </w:r>
          </w:p>
        </w:tc>
        <w:tc>
          <w:tcPr>
            <w:tcW w:type="dxa" w:w="238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Selección o creación de la empresa y justificación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Nombre, localización, misión, visión y público objetivo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2, 3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Propuesta de valor / servicio prestado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Organigrama básico (jerárquico)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Descripción de áreas y funciones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Recurso humano y roles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Organigrama funcional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Procesos internos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Procesos externos: proveedores (alojamiento, transporte, alimentación, seguros)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5, 7, 8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 y 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B45309"/>
                <w:sz w:val="19"/>
              </w:rPr>
              <w:t>Parcial: transporte, alimentación y ticketeras desarrollados; alojamiento no aplica; seguros solo SOAP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Procesos externos: alianzas estratégicas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5, 8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 y 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 (declaradas como propuesta)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Procesos externos: clientes y canales de comercialización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5, 8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 y 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Diagrama de flujo o mapa de procesos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Identificación de los actores del servicio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Diagrama funcional: empresa al centro, actores alrededor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Líneas según tipo de relación (coordinación, contratación, información)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Responsabilidades y funciones de cada actor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7, 8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Relación entre servicio y necesidades de la demanda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3, 9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 y 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Interdependencia operativa entre actores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7, 8, 9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Criterio de asignación: estándares técnicos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Criterio de asignación: estándares normativos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 (citas corregidas; verificar texto vigente en bcn.cl)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Criterio de asignación: sustentabilidad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Criterio de asignación: contexto territorial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2, 10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 y 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Matriz de asignación de tareas y responsables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 (fila post-evento complementaria)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Seguimiento de proveedores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Seguimiento de operadores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Seguimiento de clientes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Protocolo de contingencias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B45309"/>
                <w:sz w:val="19"/>
              </w:rPr>
              <w:t>Parcial en el informe; completado con propuestas señaladas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Forma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Portada, introducción, desarrollo y conclusión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1, 2, 3–11, 12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1–4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Forma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Referencias bibliográficas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 (franja) y este documento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047857"/>
                <w:sz w:val="19"/>
              </w:rPr>
              <w:t>Cumple (versión compacta en la diapositiva)</w:t>
            </w:r>
          </w:p>
        </w:tc>
      </w:tr>
    </w:tbl>
    <w:p>
      <w:pPr>
        <w:pStyle w:val="Heading1"/>
      </w:pPr>
      <w:r>
        <w:t>2. Resumen por criterio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1247"/>
        <w:gridCol w:w="1701"/>
        <w:gridCol w:w="2154"/>
      </w:tblGrid>
      <w:tr>
        <w:trPr>
          <w:tblHeader w:val="true"/>
        </w:trPr>
        <w:tc>
          <w:tcPr>
            <w:tcW w:type="dxa" w:w="850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11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Evidencia requerida</w:t>
            </w:r>
          </w:p>
        </w:tc>
        <w:tc>
          <w:tcPr>
            <w:tcW w:type="dxa" w:w="1247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Diapositivas</w:t>
            </w:r>
          </w:p>
        </w:tc>
        <w:tc>
          <w:tcPr>
            <w:tcW w:type="dxa" w:w="170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Expositor</w:t>
            </w:r>
          </w:p>
        </w:tc>
        <w:tc>
          <w:tcPr>
            <w:tcW w:type="dxa" w:w="215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Estructuras y procesos internos/externos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2–6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Integrantes 1 y 2</w:t>
            </w:r>
          </w:p>
        </w:tc>
        <w:tc>
          <w:tcPr>
            <w:tcW w:type="dxa" w:w="2154"/>
          </w:tcPr>
          <w:p>
            <w:r/>
            <w:r>
              <w:rPr>
                <w:b/>
                <w:color w:val="047857"/>
                <w:sz w:val="19"/>
              </w:rPr>
              <w:t>Cumple (un subrequisito parcial: alojamiento y seguros)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Relaciones funcionales entre actores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7–9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Integrante 3</w:t>
            </w:r>
          </w:p>
        </w:tc>
        <w:tc>
          <w:tcPr>
            <w:tcW w:type="dxa" w:w="2154"/>
          </w:tcPr>
          <w:p>
            <w:r/>
            <w:r>
              <w:rPr>
                <w:b/>
                <w:color w:val="047857"/>
                <w:sz w:val="19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Criterios técnicos, asignación y seguimiento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10–12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Integrante 4</w:t>
            </w:r>
          </w:p>
        </w:tc>
        <w:tc>
          <w:tcPr>
            <w:tcW w:type="dxa" w:w="2154"/>
          </w:tcPr>
          <w:p>
            <w:r/>
            <w:r>
              <w:rPr>
                <w:b/>
                <w:color w:val="047857"/>
                <w:sz w:val="19"/>
              </w:rPr>
              <w:t>Cumple (contingencias completadas con propuestas)</w:t>
            </w:r>
          </w:p>
        </w:tc>
      </w:tr>
    </w:tbl>
    <w:p>
      <w:pPr>
        <w:pStyle w:val="Heading1"/>
      </w:pPr>
      <w:r>
        <w:t>3. Análisis de los documentos fuente</w:t>
      </w:r>
    </w:p>
    <w:p>
      <w:pPr>
        <w:pStyle w:val="Heading2"/>
      </w:pPr>
      <w:r>
        <w:t>3.1 Vacíos e inconsistencias detectados</w:t>
      </w:r>
    </w:p>
    <w:p>
      <w:pPr>
        <w:pStyle w:val="ListBullet"/>
      </w:pPr>
      <w:r>
        <w:rPr>
          <w:b/>
        </w:rPr>
        <w:t xml:space="preserve">Cita normativa (Ley 20.423). </w:t>
      </w:r>
      <w:r>
        <w:t>El informe atribuye la inscripción en el Registro Nacional de Prestadores al artículo 19. El registro se regula en el Título VII (arts. 30 y siguientes); el art. 33 establece que la inscripción es voluntaria, salvo para alojamiento turístico (art. 34) y turismo aventura. Corregido en la diapositiva 10.</w:t>
      </w:r>
    </w:p>
    <w:p>
      <w:pPr>
        <w:pStyle w:val="ListBullet"/>
      </w:pPr>
      <w:r>
        <w:rPr>
          <w:b/>
        </w:rPr>
        <w:t xml:space="preserve">Cita normativa (licencias). </w:t>
      </w:r>
      <w:r>
        <w:t>El informe vincula las licencias A2/A3 al D.S. 80/2004. Las clases de licencia están en el art. 12 de la Ley 18.290 de Tránsito (A2: 10 a 17 asientos; A3: sin límite). El D.S. 80 regula el transporte privado remunerado de pasajeros. Corregido en la diapositiva 10.</w:t>
      </w:r>
    </w:p>
    <w:p>
      <w:pPr>
        <w:pStyle w:val="ListBullet"/>
      </w:pPr>
      <w:r>
        <w:rPr>
          <w:b/>
        </w:rPr>
        <w:t xml:space="preserve">Festival Internacional de Temuco 2027. </w:t>
      </w:r>
      <w:r>
        <w:t>El informe lo presenta como «anunciado». No se encontró confirmación verificable; se presenta como escenario proyectado (diapositiva 2).</w:t>
      </w:r>
    </w:p>
    <w:p>
      <w:pPr>
        <w:pStyle w:val="ListBullet"/>
      </w:pPr>
      <w:r>
        <w:rPr>
          <w:b/>
        </w:rPr>
        <w:t xml:space="preserve">Proveedores de alojamiento y seguros. </w:t>
      </w:r>
      <w:r>
        <w:t>La guía los menciona como ejemplos; el informe no los desarrolla. Alojamiento no aplica a salidas de día; para viajes a Santiago o Concepción queda por definir. Seguros: solo SOAP de transportistas; un seguro de asistencia al pasajero no está considerado.</w:t>
      </w:r>
    </w:p>
    <w:p>
      <w:pPr>
        <w:pStyle w:val="ListBullet"/>
      </w:pPr>
      <w:r>
        <w:rPr>
          <w:b/>
        </w:rPr>
        <w:t xml:space="preserve">Matriz de tareas incompleta. </w:t>
      </w:r>
      <w:r>
        <w:t>El informe cubre cuatro momentos y omite la etapa 5 (encuesta post-evento), sin responsable asignado. Se agregó una fila complementaria (diapositiva 11).</w:t>
      </w:r>
    </w:p>
    <w:p>
      <w:pPr>
        <w:pStyle w:val="ListBullet"/>
      </w:pPr>
      <w:r>
        <w:rPr>
          <w:b/>
        </w:rPr>
        <w:t xml:space="preserve">Protocolo de contingencias. </w:t>
      </w:r>
      <w:r>
        <w:t>El informe menciona planes de contingencia y medidas aisladas, pero no un protocolo formal. Se ordenaron en una tabla y se añadieron dos situaciones y un escalamiento marcados como propuesta (diapositiva 12).</w:t>
      </w:r>
    </w:p>
    <w:p>
      <w:pPr>
        <w:pStyle w:val="ListBullet"/>
      </w:pPr>
      <w:r>
        <w:rPr>
          <w:b/>
        </w:rPr>
        <w:t xml:space="preserve">Responsables de etapas 1 y 2 del flujo. </w:t>
      </w:r>
      <w:r>
        <w:t>No están explícitos en la figura 2; se dedujeron de la secc. 3.1 y 3.2 (área Comercial).</w:t>
      </w:r>
    </w:p>
    <w:p>
      <w:pPr>
        <w:pStyle w:val="ListBullet"/>
      </w:pPr>
      <w:r>
        <w:rPr>
          <w:b/>
        </w:rPr>
        <w:t xml:space="preserve">Cantidad de integrantes. </w:t>
      </w:r>
      <w:r>
        <w:t>La guía indica grupos de 2 o 3 integrantes y el informe registra un solo integrante; la presentación se diseñó para 4 según lo solicitado. Confirmen con la docente si la conformación es válida.</w:t>
      </w:r>
    </w:p>
    <w:p>
      <w:pPr>
        <w:pStyle w:val="ListBullet"/>
      </w:pPr>
      <w:r>
        <w:rPr>
          <w:b/>
        </w:rPr>
        <w:t xml:space="preserve">Formato de entrega. </w:t>
      </w:r>
      <w:r>
        <w:t>La guía describe un pre-informe escrito y su entrega como «material audiovisual» en AAI; la presentación es una adaptación oral del informe.</w:t>
      </w:r>
    </w:p>
    <w:p>
      <w:pPr>
        <w:pStyle w:val="ListBullet"/>
      </w:pPr>
      <w:r>
        <w:rPr>
          <w:b/>
        </w:rPr>
        <w:t xml:space="preserve">Instrumento de evaluación. </w:t>
      </w:r>
      <w:r>
        <w:t>La rúbrica de AAI no fue proporcionada (ver advertencia inicial).</w:t>
      </w:r>
    </w:p>
    <w:p>
      <w:pPr>
        <w:pStyle w:val="Heading2"/>
      </w:pPr>
      <w:r>
        <w:t>3.2 Clasificación de la información utilizada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36"/>
        <w:gridCol w:w="2551"/>
      </w:tblGrid>
      <w:tr>
        <w:trPr>
          <w:tblHeader w:val="true"/>
        </w:trPr>
        <w:tc>
          <w:tcPr>
            <w:tcW w:type="dxa" w:w="198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535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Ejemplos en la presentación</w:t>
            </w:r>
          </w:p>
        </w:tc>
        <w:tc>
          <w:tcPr>
            <w:tcW w:type="dxa" w:w="255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Cómo se presenta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Dato verificable externo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3,6 millones de visitantes internacionales en 2023 (Subsecretaría de Turismo, 2024, citada en la guía); contenido de Ley 20.423, D.S. 80, Ley 18.290 y Ley 18.490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Con fuente en la diapositiva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Propuesta operativa de la empresa ficticia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Estructura, cargos, rutas, pack, convenios, alianzas institucionales, matriz, canales de seguimiento, sustentabilidad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Atribuida al informe; convenios e inscripción en registro rotulados como propuesta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Escenario proyectado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Festival Internacional de Temuco 2027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Etiqueta «Escenario proyectado»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Complemento del equipo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Fila post-evento, dos contingencias, escalamiento, cadena de interdependencia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Rotulado en ámbar o como «análisis del equipo»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Requiere verificación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Texto vigente de las normas en bcn.cl; condiciones reales de tránsito y permisos municipales para buses turísticos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Nota en diapositivas 10 y 12</w:t>
            </w:r>
          </w:p>
        </w:tc>
      </w:tr>
    </w:tbl>
    <w:p>
      <w:pPr>
        <w:pStyle w:val="Heading2"/>
      </w:pPr>
      <w:r>
        <w:t>3.3 Fuentes consultadas para la verificación normativa</w:t>
      </w:r>
    </w:p>
    <w:p>
      <w:pPr>
        <w:pStyle w:val="ListBullet"/>
      </w:pPr>
      <w:r>
        <w:t>SERNATUR – Ley 20.423 modificada: https://www.sernatur.cl/transparencia/archivos/marco-normativo/marco-norm-aplic/LEY-20423-modificada.pdf</w:t>
      </w:r>
    </w:p>
    <w:p>
      <w:pPr>
        <w:pStyle w:val="ListBullet"/>
      </w:pPr>
      <w:r>
        <w:t>SERNATUR – Portal de Servicios Turísticos (registro): https://portalserviciosturisticos.sernatur.cl/formalizate/sello-r/</w:t>
      </w:r>
    </w:p>
    <w:p>
      <w:pPr>
        <w:pStyle w:val="ListBullet"/>
      </w:pPr>
      <w:r>
        <w:t>BCN – Ley 20.423: https://www.bcn.cl/leychile/navegar?i=1010960</w:t>
      </w:r>
    </w:p>
    <w:p>
      <w:pPr>
        <w:pStyle w:val="ListBullet"/>
      </w:pPr>
      <w:r>
        <w:t>BCN – D.S. 80/2004 MTT: https://www.bcn.cl/leychile/navegar?i=230180</w:t>
      </w:r>
    </w:p>
    <w:p>
      <w:pPr>
        <w:pStyle w:val="ListBullet"/>
      </w:pPr>
      <w:r>
        <w:t>SUSESO – Ley 18.290, art. 12: https://www.suseso.gob.cl/612/w3-propertyvalue-99407.html</w:t>
      </w:r>
    </w:p>
    <w:p>
      <w:r>
        <w:rPr>
          <w:i/>
        </w:rPr>
        <w:t>Recomendación: antes de la exposición, revisen el texto vigente de cada norma directamente en bcn.cl.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D28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