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1FE2D" w14:textId="77777777" w:rsidR="006666E0" w:rsidRPr="00DC430C" w:rsidRDefault="006666E0" w:rsidP="006666E0">
      <w:pPr>
        <w:jc w:val="center"/>
        <w:rPr>
          <w:b/>
          <w:bCs/>
        </w:rPr>
      </w:pPr>
      <w:r w:rsidRPr="61057859">
        <w:rPr>
          <w:b/>
          <w:bCs/>
        </w:rPr>
        <w:t xml:space="preserve">Caracterización operativa de clientes y </w:t>
      </w:r>
      <w:proofErr w:type="spellStart"/>
      <w:r w:rsidRPr="61057859">
        <w:rPr>
          <w:b/>
          <w:bCs/>
        </w:rPr>
        <w:t>forecast</w:t>
      </w:r>
      <w:proofErr w:type="spellEnd"/>
      <w:r w:rsidRPr="61057859">
        <w:rPr>
          <w:b/>
          <w:bCs/>
        </w:rPr>
        <w:t xml:space="preserve"> estructural para decisiones de compra en La Gaitana Farms</w:t>
      </w:r>
    </w:p>
    <w:p w14:paraId="5D810705" w14:textId="77C9FD81" w:rsidR="006666E0" w:rsidRDefault="006666E0" w:rsidP="006666E0">
      <w:pPr>
        <w:jc w:val="center"/>
        <w:rPr>
          <w:b/>
          <w:bCs/>
        </w:rPr>
      </w:pPr>
      <w:r w:rsidRPr="006666E0">
        <w:rPr>
          <w:b/>
          <w:bCs/>
        </w:rPr>
        <w:t xml:space="preserve">MIIA-4304 </w:t>
      </w:r>
      <w:r>
        <w:rPr>
          <w:b/>
          <w:bCs/>
        </w:rPr>
        <w:t>- Despliegue de soluciones analíticas</w:t>
      </w:r>
    </w:p>
    <w:p w14:paraId="39F742A1" w14:textId="345C7206" w:rsidR="006666E0" w:rsidRDefault="006666E0" w:rsidP="006666E0">
      <w:pPr>
        <w:jc w:val="center"/>
        <w:rPr>
          <w:b/>
          <w:bCs/>
        </w:rPr>
      </w:pPr>
      <w:r>
        <w:rPr>
          <w:b/>
          <w:bCs/>
        </w:rPr>
        <w:t xml:space="preserve">MIIA - Maestría Inteligencia analítica para la toma de decisiones, </w:t>
      </w:r>
      <w:r w:rsidRPr="00547DE1">
        <w:rPr>
          <w:b/>
          <w:bCs/>
        </w:rPr>
        <w:t>Universidad de Los Andes</w:t>
      </w:r>
    </w:p>
    <w:p w14:paraId="60F619E5" w14:textId="77777777" w:rsidR="006666E0" w:rsidRDefault="006666E0" w:rsidP="006666E0">
      <w:pPr>
        <w:rPr>
          <w:b/>
          <w:bCs/>
        </w:rPr>
      </w:pPr>
    </w:p>
    <w:p w14:paraId="3AFDB5E2" w14:textId="24502284" w:rsid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Problema que abordará y su context</w:t>
      </w:r>
      <w:r w:rsidRPr="006666E0">
        <w:rPr>
          <w:b/>
          <w:bCs/>
        </w:rPr>
        <w:t>o</w:t>
      </w:r>
      <w:r>
        <w:rPr>
          <w:b/>
          <w:bCs/>
        </w:rPr>
        <w:t>.</w:t>
      </w:r>
    </w:p>
    <w:p w14:paraId="6F18AAD9" w14:textId="77777777" w:rsidR="006666E0" w:rsidRDefault="006666E0" w:rsidP="006666E0">
      <w:pPr>
        <w:jc w:val="both"/>
      </w:pPr>
      <w:r>
        <w:t>La Gaitana Farms produce y exporta flores, pero no todo lo que vende proviene directamente de producción propia. Una parte relevante de la operación depende de compras a terceros, especialmente cuando la demanda de los clientes supera la disponibilidad interna o cuando se requieren productos, colores o estructuras específicas. En este contexto, el problema no es únicamente saber cuánto volumen se va a vender, sino entender qué tipo de flor, bajo qué estructura operativa, para qué cliente y en qué momento debe anticiparse.</w:t>
      </w:r>
    </w:p>
    <w:p w14:paraId="205F453D" w14:textId="77777777" w:rsidR="006666E0" w:rsidRPr="00DC430C" w:rsidRDefault="006666E0" w:rsidP="006666E0">
      <w:pPr>
        <w:jc w:val="both"/>
      </w:pPr>
      <w:r>
        <w:t xml:space="preserve">El dolor principal identificado es que muchas compras se realizan de forma reactiva. Es decir, se compra flor porque falta un color, un producto o una necesidad general, pero no necesariamente porque esa flor corresponda a una estructura terminada o casi terminada para un cliente específico. Cuando la flor comprada no coincide con el pedido real, la operación de </w:t>
      </w:r>
      <w:proofErr w:type="spellStart"/>
      <w:r>
        <w:t>poscosecha</w:t>
      </w:r>
      <w:proofErr w:type="spellEnd"/>
      <w:r>
        <w:t xml:space="preserve"> debe reprocesar: cambiar capuchones, ajustar ramos, modificar empaques, completar combinaciones, armar surtidos, corregir estructuras o reasignar flor. Esto genera costos operativos, presión sobre el equipo, riesgo de errores y menor capacidad de respuesta</w:t>
      </w:r>
    </w:p>
    <w:p w14:paraId="43EAC2F8" w14:textId="204682E1" w:rsidR="006666E0" w:rsidRPr="006666E0" w:rsidRDefault="006666E0" w:rsidP="006666E0">
      <w:pPr>
        <w:jc w:val="both"/>
      </w:pPr>
      <w:r>
        <w:t xml:space="preserve">No se trata de construir un modelo genérico de ventas, sino una herramienta analítica-operativa que ayude a entender cómo compra cada cliente, qué estructuras repite, qué tan estable es su comportamiento y qué demanda futura probable puede apoyar mejores decisiones de compra. </w:t>
      </w:r>
    </w:p>
    <w:p w14:paraId="0A97C2BA" w14:textId="15548554" w:rsid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Pregunta de negocio y alcance del proyect</w:t>
      </w:r>
      <w:r>
        <w:rPr>
          <w:b/>
          <w:bCs/>
        </w:rPr>
        <w:t>o</w:t>
      </w:r>
    </w:p>
    <w:p w14:paraId="45B13B16" w14:textId="77777777" w:rsidR="003A2A6D" w:rsidRPr="00DC430C" w:rsidRDefault="003A2A6D" w:rsidP="003A2A6D">
      <w:pPr>
        <w:jc w:val="both"/>
      </w:pPr>
      <w:r>
        <w:t>La pregunta de negocio que guía el proyecto es:</w:t>
      </w:r>
    </w:p>
    <w:p w14:paraId="778F8A18" w14:textId="2112BC37" w:rsidR="00FD1754" w:rsidRPr="007A4F6C" w:rsidRDefault="003A2A6D" w:rsidP="007A4F6C">
      <w:pPr>
        <w:jc w:val="both"/>
        <w:rPr>
          <w:i/>
          <w:iCs/>
        </w:rPr>
      </w:pPr>
      <w:r w:rsidRPr="003A2A6D">
        <w:rPr>
          <w:i/>
          <w:iCs/>
        </w:rPr>
        <w:t>¿Cómo puede La Gaitana Farms usar su información histórica de pedidos y ventas para caracterizar clientes</w:t>
      </w:r>
      <w:r>
        <w:rPr>
          <w:i/>
          <w:iCs/>
        </w:rPr>
        <w:t xml:space="preserve"> </w:t>
      </w:r>
      <w:r w:rsidRPr="003A2A6D">
        <w:rPr>
          <w:i/>
          <w:iCs/>
        </w:rPr>
        <w:t xml:space="preserve">y anticipar demanda de </w:t>
      </w:r>
      <w:r>
        <w:rPr>
          <w:i/>
          <w:iCs/>
        </w:rPr>
        <w:t xml:space="preserve">productos </w:t>
      </w:r>
      <w:r w:rsidRPr="003A2A6D">
        <w:rPr>
          <w:i/>
          <w:iCs/>
        </w:rPr>
        <w:t xml:space="preserve">sólidos, de forma que compras, comercial, planeación y </w:t>
      </w:r>
      <w:proofErr w:type="spellStart"/>
      <w:r w:rsidRPr="003A2A6D">
        <w:rPr>
          <w:i/>
          <w:iCs/>
        </w:rPr>
        <w:t>poscosecha</w:t>
      </w:r>
      <w:proofErr w:type="spellEnd"/>
      <w:r w:rsidRPr="003A2A6D">
        <w:rPr>
          <w:i/>
          <w:iCs/>
        </w:rPr>
        <w:t xml:space="preserve"> puedan tomar mejores decisiones?</w:t>
      </w:r>
    </w:p>
    <w:p w14:paraId="190A22CE" w14:textId="66CB6039" w:rsid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Conjuntos de datos a emplea</w:t>
      </w:r>
    </w:p>
    <w:p w14:paraId="3E735F4B" w14:textId="15CA1AB3" w:rsidR="007A4F6C" w:rsidRPr="00DC430C" w:rsidRDefault="007A4F6C" w:rsidP="007A4F6C">
      <w:pPr>
        <w:jc w:val="both"/>
      </w:pPr>
      <w:r w:rsidRPr="007A4F6C">
        <w:t xml:space="preserve">Los datos </w:t>
      </w:r>
      <w:r>
        <w:t>que se</w:t>
      </w:r>
      <w:r w:rsidRPr="007A4F6C">
        <w:t xml:space="preserve"> utilizar</w:t>
      </w:r>
      <w:r>
        <w:t>án</w:t>
      </w:r>
      <w:r w:rsidRPr="007A4F6C">
        <w:t xml:space="preserve"> </w:t>
      </w:r>
      <w:r>
        <w:t xml:space="preserve">en el proyecto son </w:t>
      </w:r>
      <w:r>
        <w:t>la base histórica de ventas y pedidos</w:t>
      </w:r>
      <w:r>
        <w:t xml:space="preserve"> la cual</w:t>
      </w:r>
      <w:r>
        <w:t xml:space="preserve"> contiene información operativa y comercial como fecha de despacho, código de cliente, nombre del cliente, país, producto, variedad, color, tipo de caja, tallos pedidos, tallos confirmados, empaque, capuchón, comida, receta, tipo de pedido, moneda y valor de venta, entre otros campos. La fecha oficial del análisis es </w:t>
      </w:r>
      <w:r w:rsidRPr="61057859">
        <w:rPr>
          <w:b/>
          <w:bCs/>
        </w:rPr>
        <w:t>FECHA</w:t>
      </w:r>
      <w:r>
        <w:t xml:space="preserve">, entendida como la fecha de salida o despacho desde Bogotá, y la cantidad operativa principal corresponde a </w:t>
      </w:r>
      <w:proofErr w:type="spellStart"/>
      <w:r w:rsidRPr="61057859">
        <w:rPr>
          <w:b/>
          <w:bCs/>
        </w:rPr>
        <w:t>TallosPedidos</w:t>
      </w:r>
      <w:proofErr w:type="spellEnd"/>
      <w:r>
        <w:t xml:space="preserve">, comparada contra </w:t>
      </w:r>
      <w:proofErr w:type="spellStart"/>
      <w:r w:rsidRPr="7F04B5EE">
        <w:rPr>
          <w:b/>
          <w:bCs/>
        </w:rPr>
        <w:t>TallosConfirmados</w:t>
      </w:r>
      <w:proofErr w:type="spellEnd"/>
      <w:r>
        <w:rPr>
          <w:b/>
          <w:bCs/>
        </w:rPr>
        <w:t xml:space="preserve"> </w:t>
      </w:r>
      <w:r>
        <w:t xml:space="preserve">para medir cumplimiento. Esta última variable </w:t>
      </w:r>
      <w:r>
        <w:t>se utilizará dentro</w:t>
      </w:r>
      <w:r>
        <w:t xml:space="preserve"> de los modelos debido a que en la práctica no todos los clientes se confirman en</w:t>
      </w:r>
      <w:r w:rsidRPr="61057859">
        <w:rPr>
          <w:b/>
          <w:bCs/>
        </w:rPr>
        <w:t xml:space="preserve"> </w:t>
      </w:r>
      <w:proofErr w:type="spellStart"/>
      <w:proofErr w:type="gramStart"/>
      <w:r w:rsidRPr="61057859">
        <w:rPr>
          <w:b/>
          <w:bCs/>
        </w:rPr>
        <w:t>TallosPedidos</w:t>
      </w:r>
      <w:proofErr w:type="spellEnd"/>
      <w:proofErr w:type="gramEnd"/>
      <w:r w:rsidR="00D95484">
        <w:t xml:space="preserve"> sino que también</w:t>
      </w:r>
      <w:r>
        <w:t xml:space="preserve"> se confirman mediante otros medios (correo, WhatsApp, página web) y se sube la orden ya confirmada. </w:t>
      </w:r>
    </w:p>
    <w:p w14:paraId="6B1B937D" w14:textId="77777777" w:rsidR="007A4F6C" w:rsidRPr="00DC430C" w:rsidRDefault="007A4F6C" w:rsidP="007A4F6C">
      <w:pPr>
        <w:jc w:val="both"/>
      </w:pPr>
      <w:r>
        <w:lastRenderedPageBreak/>
        <w:t>El flujo implementado normaliza columnas, fechas, textos, valores numéricos y clasificaciones operativas. Además, separa los estados de la orden para evitar mezclar información que cumple funciones distintas: los pedidos confirmados representan historia real para aprender patrones; los pendientes representan demanda futura real; los estimados comerciales sirven de referencia, no como histórico real; y los estados de verificación se conservan como control operativo.</w:t>
      </w:r>
    </w:p>
    <w:p w14:paraId="1AB21C02" w14:textId="7867FC38" w:rsidR="007A4F6C" w:rsidRPr="007A4F6C" w:rsidRDefault="007A4F6C" w:rsidP="007A4F6C">
      <w:pPr>
        <w:jc w:val="both"/>
      </w:pPr>
      <w:r>
        <w:t xml:space="preserve">También se definió una regla importante: no todos los pedidos se pueden analizar igual. Un pedido </w:t>
      </w:r>
      <w:r w:rsidRPr="61057859">
        <w:rPr>
          <w:b/>
          <w:bCs/>
        </w:rPr>
        <w:t>SÓLIDO</w:t>
      </w:r>
      <w:r>
        <w:t xml:space="preserve"> puede interpretarse como una estructura más cercana a producto, variedad y color específicos; mientras que, pedidos como </w:t>
      </w:r>
      <w:r w:rsidRPr="61057859">
        <w:rPr>
          <w:b/>
          <w:bCs/>
        </w:rPr>
        <w:t>SURTIDO, SURTIDO_M, RAINBOW, COMBO, BULK, BOUQUET o BQT</w:t>
      </w:r>
      <w:r w:rsidRPr="6B9115C1">
        <w:rPr>
          <w:b/>
          <w:bCs/>
        </w:rPr>
        <w:t xml:space="preserve"> </w:t>
      </w:r>
      <w:r>
        <w:t xml:space="preserve">se analizan como composiciones, mezclas o recetas para evitar castigar a clientes de surtidos por no repetir un SKU terminado exacto, cuando en realidad su estabilidad puede estar en el patrón de mezcla, los colores recurrentes, caja, empaque o composición interna. </w:t>
      </w:r>
    </w:p>
    <w:p w14:paraId="7BCA5223" w14:textId="77777777" w:rsidR="006666E0" w:rsidRP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Repositorio Git en uso para el código.</w:t>
      </w:r>
    </w:p>
    <w:p w14:paraId="1BBDF86F" w14:textId="77777777" w:rsidR="006666E0" w:rsidRP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Repositorio DVC en uso para los datos.</w:t>
      </w:r>
    </w:p>
    <w:p w14:paraId="61F08D91" w14:textId="77777777" w:rsidR="006666E0" w:rsidRP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Exploración de los datos.</w:t>
      </w:r>
    </w:p>
    <w:p w14:paraId="6473EC4F" w14:textId="77777777" w:rsidR="006666E0" w:rsidRP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Maqueta del prototipo.</w:t>
      </w:r>
    </w:p>
    <w:p w14:paraId="50E6AD76" w14:textId="28035E94" w:rsidR="006666E0" w:rsidRPr="006666E0" w:rsidRDefault="006666E0" w:rsidP="006666E0">
      <w:pPr>
        <w:pStyle w:val="Prrafodelista"/>
        <w:numPr>
          <w:ilvl w:val="0"/>
          <w:numId w:val="2"/>
        </w:numPr>
        <w:rPr>
          <w:b/>
          <w:bCs/>
        </w:rPr>
      </w:pPr>
      <w:r w:rsidRPr="006666E0">
        <w:rPr>
          <w:b/>
          <w:bCs/>
        </w:rPr>
        <w:t>Reporte de trabajo en equipo</w:t>
      </w:r>
      <w:r>
        <w:rPr>
          <w:b/>
          <w:bCs/>
        </w:rPr>
        <w:t>.</w:t>
      </w:r>
    </w:p>
    <w:p w14:paraId="52247A48" w14:textId="77777777" w:rsidR="00940A72" w:rsidRDefault="00940A72"/>
    <w:p>
      <w:r>
        <w:rPr>
          <w:b/>
        </w:rPr>
        <w:t>Complemento de exploracion orientada al pronostico</w:t>
      </w:r>
    </w:p>
    <w:p>
      <w:r>
        <w:t>La exploracion de datos se desarrollo en el notebook notebooks/eda_pronostico_demanda_solidos.ipynb, usando las bases crudas historicas ventas_facturadas_2021.csv a ventas_facturadas_2026.csv. El foco no fue un descriptivo general, sino entender la demanda que alimenta el pronostico de pedidos SOLIDO.</w:t>
      </w:r>
    </w:p>
    <w:p>
      <w:r>
        <w:t>La corrida sobre base cruda analiza 1.685.454 registros entre 2021-01-04 y 2026-05-16, con 193.320.621 tallos SOLIDO. El notebook revisa tendencia semanal, estacionalidad, concentracion por producto-color, clientes principales, volatilidad por color y correlacion semanal entre colores. Esto permite justificar que el modelo no debe pronosticar solo un total agregado, sino considerar semana, color, producto, pais y cliente.</w:t>
      </w:r>
    </w:p>
    <w:p>
      <w:r>
        <w:t>Como baseline de demanda, el promedio movil de 8 semanas alcanza WAPE de 20,69%, mientras que la misma semana del ano anterior alcanza WAPE de 14,04%. Este hallazgo sugiere que la estacionalidad anual es una senal fuerte para el pronostico de demanda de solidos.</w:t>
      </w:r>
    </w:p>
    <w:p>
      <w:r>
        <w:rPr>
          <w:b/>
        </w:rPr>
        <w:t>Maqueta y soporte del prototipo existente</w:t>
      </w:r>
    </w:p>
    <w:p>
      <w:r>
        <w:t>La maqueta se soporta en pantallazos del prototipo ya construido para LGF Analitica Comercial, no en una interfaz nueva. Se incluyen vistas del modulo general, del forecast de solidos y del visualizador descriptivo de SKUs como evidencia de la direccion funcional del prototipo.</w:t>
      </w:r>
    </w:p>
    <w:p>
      <w:r>
        <w:rPr>
          <w:b/>
        </w:rPr>
        <w:t>Vista general de ventas</w:t>
      </w:r>
    </w:p>
    <w:p>
      <w:r>
        <w:drawing>
          <wp:inline xmlns:a="http://schemas.openxmlformats.org/drawingml/2006/main" xmlns:pic="http://schemas.openxmlformats.org/drawingml/2006/picture">
            <wp:extent cx="5303520" cy="6862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tas_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Modulo forecast de solidos</w:t>
      </w:r>
    </w:p>
    <w:p>
      <w:r>
        <w:drawing>
          <wp:inline xmlns:a="http://schemas.openxmlformats.org/drawingml/2006/main" xmlns:pic="http://schemas.openxmlformats.org/drawingml/2006/picture">
            <wp:extent cx="5303520" cy="68621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cast_solid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Visualizador descriptivo de SKUs</w:t>
      </w:r>
    </w:p>
    <w:p>
      <w:r>
        <w:drawing>
          <wp:inline xmlns:a="http://schemas.openxmlformats.org/drawingml/2006/main" xmlns:pic="http://schemas.openxmlformats.org/drawingml/2006/picture">
            <wp:extent cx="5303520" cy="68621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dor_sk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Repositorio Git y DVC</w:t>
      </w:r>
    </w:p>
    <w:p>
      <w:r>
        <w:t>El codigo y soportes quedan en la carpeta proyecto_despliegue. Para Git se prepara la rama proyecto_despliegue_lgf. Para DVC se versiona la muestra datos/raw/ventas_facturadas_muestra_2021_2026.csv, porque la base cruda completa se usa localmente para el EDA pero no se sube al repositorio.</w:t>
      </w:r>
    </w:p>
    <w:p>
      <w:r>
        <w:rPr>
          <w:b/>
        </w:rPr>
        <w:t>Diccionario resumido de datos</w:t>
      </w:r>
    </w:p>
    <w:p>
      <w:r>
        <w:t>La tabla resume las variables mas importantes para la entrega. El diccionario completo queda en datos/README_DICCIONARIO_DATOS.md.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Campo</w:t>
            </w:r>
          </w:p>
        </w:tc>
        <w:tc>
          <w:tcPr>
            <w:tcW w:type="dxa" w:w="4419"/>
          </w:tcPr>
          <w:p>
            <w:r>
              <w:t>Para que sirve</w:t>
            </w:r>
          </w:p>
        </w:tc>
      </w:tr>
      <w:tr>
        <w:tc>
          <w:tcPr>
            <w:tcW w:type="dxa" w:w="4419"/>
          </w:tcPr>
          <w:p>
            <w:r>
              <w:t>fecha, anio, semana_iso</w:t>
            </w:r>
          </w:p>
        </w:tc>
        <w:tc>
          <w:tcPr>
            <w:tcW w:type="dxa" w:w="4419"/>
          </w:tcPr>
          <w:p>
            <w:r>
              <w:t>Ubican cada venta en el tiempo para construir la serie semanal.</w:t>
            </w:r>
          </w:p>
        </w:tc>
      </w:tr>
      <w:tr>
        <w:tc>
          <w:tcPr>
            <w:tcW w:type="dxa" w:w="4419"/>
          </w:tcPr>
          <w:p>
            <w:r>
              <w:t>cod_cliente, cliente</w:t>
            </w:r>
          </w:p>
        </w:tc>
        <w:tc>
          <w:tcPr>
            <w:tcW w:type="dxa" w:w="4419"/>
          </w:tcPr>
          <w:p>
            <w:r>
              <w:t>Permiten medir concentracion y recurrencia de demanda por cliente.</w:t>
            </w:r>
          </w:p>
        </w:tc>
      </w:tr>
      <w:tr>
        <w:tc>
          <w:tcPr>
            <w:tcW w:type="dxa" w:w="4419"/>
          </w:tcPr>
          <w:p>
            <w:r>
              <w:t>pais</w:t>
            </w:r>
          </w:p>
        </w:tc>
        <w:tc>
          <w:tcPr>
            <w:tcW w:type="dxa" w:w="4419"/>
          </w:tcPr>
          <w:p>
            <w:r>
              <w:t>Segmenta la demanda por mercado destino.</w:t>
            </w:r>
          </w:p>
        </w:tc>
      </w:tr>
      <w:tr>
        <w:tc>
          <w:tcPr>
            <w:tcW w:type="dxa" w:w="4419"/>
          </w:tcPr>
          <w:p>
            <w:r>
              <w:t>producto, color, variedad</w:t>
            </w:r>
          </w:p>
        </w:tc>
        <w:tc>
          <w:tcPr>
            <w:tcW w:type="dxa" w:w="4419"/>
          </w:tcPr>
          <w:p>
            <w:r>
              <w:t>Explican que se demanda; color y producto-color son claves para forecast.</w:t>
            </w:r>
          </w:p>
        </w:tc>
      </w:tr>
      <w:tr>
        <w:tc>
          <w:tcPr>
            <w:tcW w:type="dxa" w:w="4419"/>
          </w:tcPr>
          <w:p>
            <w:r>
              <w:t>tipo_orden_empaque, tipo_empaque, empaque</w:t>
            </w:r>
          </w:p>
        </w:tc>
        <w:tc>
          <w:tcPr>
            <w:tcW w:type="dxa" w:w="4419"/>
          </w:tcPr>
          <w:p>
            <w:r>
              <w:t>Ayudan a identificar pedidos SOLIDO dentro de la base.</w:t>
            </w:r>
          </w:p>
        </w:tc>
      </w:tr>
      <w:tr>
        <w:tc>
          <w:tcPr>
            <w:tcW w:type="dxa" w:w="4419"/>
          </w:tcPr>
          <w:p>
            <w:r>
              <w:t>tallos_confirmados</w:t>
            </w:r>
          </w:p>
        </w:tc>
        <w:tc>
          <w:tcPr>
            <w:tcW w:type="dxa" w:w="4419"/>
          </w:tcPr>
          <w:p>
            <w:r>
              <w:t>Variable objetivo: volumen real usado para entrenar y validar pronosticos.</w:t>
            </w:r>
          </w:p>
        </w:tc>
      </w:tr>
      <w:tr>
        <w:tc>
          <w:tcPr>
            <w:tcW w:type="dxa" w:w="4419"/>
          </w:tcPr>
          <w:p>
            <w:r>
              <w:t>tallos_pedidos</w:t>
            </w:r>
          </w:p>
        </w:tc>
        <w:tc>
          <w:tcPr>
            <w:tcW w:type="dxa" w:w="4419"/>
          </w:tcPr>
          <w:p>
            <w:r>
              <w:t>Referencia de demanda solicitada; util para comparar pedido vs confirmacion.</w:t>
            </w:r>
          </w:p>
        </w:tc>
      </w:tr>
      <w:tr>
        <w:tc>
          <w:tcPr>
            <w:tcW w:type="dxa" w:w="4419"/>
          </w:tcPr>
          <w:p>
            <w:r>
              <w:t>estado</w:t>
            </w:r>
          </w:p>
        </w:tc>
        <w:tc>
          <w:tcPr>
            <w:tcW w:type="dxa" w:w="4419"/>
          </w:tcPr>
          <w:p>
            <w:r>
              <w:t>Permite distinguir historia confirmada de otras situaciones operativas.</w:t>
            </w:r>
          </w:p>
        </w:tc>
      </w:tr>
      <w:tr>
        <w:tc>
          <w:tcPr>
            <w:tcW w:type="dxa" w:w="4419"/>
          </w:tcPr>
          <w:p>
            <w:r>
              <w:t>ventas_usd</w:t>
            </w:r>
          </w:p>
        </w:tc>
        <w:tc>
          <w:tcPr>
            <w:tcW w:type="dxa" w:w="4419"/>
          </w:tcPr>
          <w:p>
            <w:r>
              <w:t>Valor comercial para dimensionar impacto, aunque el forecast se centra en tallos.</w:t>
            </w:r>
          </w:p>
        </w:tc>
      </w:tr>
    </w:tbl>
    <w:sectPr w:rsidR="00940A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C73"/>
    <w:multiLevelType w:val="hybridMultilevel"/>
    <w:tmpl w:val="6DF842F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DA218B"/>
    <w:multiLevelType w:val="hybridMultilevel"/>
    <w:tmpl w:val="19844B6A"/>
    <w:lvl w:ilvl="0" w:tplc="6CFC5A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86923">
    <w:abstractNumId w:val="1"/>
  </w:num>
  <w:num w:numId="2" w16cid:durableId="1068922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AE3"/>
    <w:rsid w:val="000947A0"/>
    <w:rsid w:val="00103A87"/>
    <w:rsid w:val="003A2A6D"/>
    <w:rsid w:val="004E26FD"/>
    <w:rsid w:val="006666E0"/>
    <w:rsid w:val="00686B27"/>
    <w:rsid w:val="00736AE3"/>
    <w:rsid w:val="007A4F6C"/>
    <w:rsid w:val="00940A72"/>
    <w:rsid w:val="00C25D53"/>
    <w:rsid w:val="00CB0FC9"/>
    <w:rsid w:val="00D95484"/>
    <w:rsid w:val="00FD1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4386D"/>
  <w15:chartTrackingRefBased/>
  <w15:docId w15:val="{443F1DB3-DC20-4C3F-BE31-2278CCB8D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6E0"/>
  </w:style>
  <w:style w:type="paragraph" w:styleId="Ttulo1">
    <w:name w:val="heading 1"/>
    <w:basedOn w:val="Normal"/>
    <w:next w:val="Normal"/>
    <w:link w:val="Ttulo1Car"/>
    <w:uiPriority w:val="9"/>
    <w:qFormat/>
    <w:rsid w:val="00736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6A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6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6A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6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6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6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6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A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A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6A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6A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6A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6A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6A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6A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6A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6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6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6A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6A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6A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6A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6A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A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DEC6D0CBB9094D8E91996E6916CA6D" ma:contentTypeVersion="5" ma:contentTypeDescription="Crear nuevo documento." ma:contentTypeScope="" ma:versionID="703a9bd21a10789b1ed29e4b284c3fdc">
  <xsd:schema xmlns:xsd="http://www.w3.org/2001/XMLSchema" xmlns:xs="http://www.w3.org/2001/XMLSchema" xmlns:p="http://schemas.microsoft.com/office/2006/metadata/properties" xmlns:ns3="bcafcd41-bb27-4e1b-bbb6-8857f5aba14c" targetNamespace="http://schemas.microsoft.com/office/2006/metadata/properties" ma:root="true" ma:fieldsID="ae6ce2e53eaf3534e092e98d137162c5" ns3:_="">
    <xsd:import namespace="bcafcd41-bb27-4e1b-bbb6-8857f5aba1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afcd41-bb27-4e1b-bbb6-8857f5aba1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afcd41-bb27-4e1b-bbb6-8857f5aba14c" xsi:nil="true"/>
  </documentManagement>
</p:properties>
</file>

<file path=customXml/itemProps1.xml><?xml version="1.0" encoding="utf-8"?>
<ds:datastoreItem xmlns:ds="http://schemas.openxmlformats.org/officeDocument/2006/customXml" ds:itemID="{4F99DC56-FA16-4B72-8E32-7C74341D9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afcd41-bb27-4e1b-bbb6-8857f5aba1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811ACB-2A99-4B55-91C3-B528087532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83C95F-B208-4E47-902E-A20FB1FD0106}">
  <ds:schemaRefs>
    <ds:schemaRef ds:uri="http://schemas.microsoft.com/office/2006/metadata/properties"/>
    <ds:schemaRef ds:uri="http://schemas.microsoft.com/office/infopath/2007/PartnerControls"/>
    <ds:schemaRef ds:uri="bcafcd41-bb27-4e1b-bbb6-8857f5aba1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632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Osorio Vergara</dc:creator>
  <cp:keywords/>
  <dc:description/>
  <cp:lastModifiedBy>Julian Osorio Vergara</cp:lastModifiedBy>
  <cp:revision>3</cp:revision>
  <dcterms:created xsi:type="dcterms:W3CDTF">2026-06-24T04:25:00Z</dcterms:created>
  <dcterms:modified xsi:type="dcterms:W3CDTF">2026-06-24T04:25:00Z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0x010100A5DEC6D0CBB9094D8E91996E6916CA6D</vt:lpwstr>
  </property>
</Properties>
</file>