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C314" w14:textId="77777777" w:rsidR="006D72BB" w:rsidRPr="00882489" w:rsidRDefault="006F60F9" w:rsidP="00882489">
      <w:pPr>
        <w:jc w:val="center"/>
        <w:rPr>
          <w:rFonts w:cs="Times New Roman"/>
          <w:b/>
          <w:sz w:val="28"/>
          <w:szCs w:val="28"/>
          <w:lang w:val="es-US"/>
        </w:rPr>
      </w:pPr>
      <w:r>
        <w:rPr>
          <w:rFonts w:ascii="Times New Roman" w:hAnsi="Times New Roman" w:eastAsia="Times New Roman"/>
          <w:b/>
          <w:color w:val="1F4E79"/>
          <w:sz w:val="28"/>
        </w:rPr>
        <w:t>ESTRUCTURA DEL DOCUMENTO DE TRABAJO DE GRADO</w:t>
      </w:r>
    </w:p>
    <w:p w14:paraId="0FB0B880" w14:textId="040F5E51" w:rsidR="006D72BB" w:rsidRPr="00882489" w:rsidRDefault="006F60F9" w:rsidP="00882489">
      <w:pPr>
        <w:spacing w:after="240"/>
        <w:jc w:val="center"/>
        <w:rPr>
          <w:rFonts w:cs="Times New Roman"/>
          <w:b/>
          <w:sz w:val="28"/>
          <w:szCs w:val="28"/>
          <w:lang w:val="es-US"/>
        </w:rPr>
      </w:pPr>
      <w:r>
        <w:rPr>
          <w:rFonts w:ascii="Times New Roman" w:hAnsi="Times New Roman" w:eastAsia="Times New Roman"/>
          <w:b/>
          <w:color w:val="000000"/>
          <w:sz w:val="28"/>
        </w:rPr>
        <w:t>Modelo predictivo para estimar la producción exportable de flores por variedad-color en La Gaitana Farms</w:t>
      </w:r>
    </w:p>
    <w:p w14:paraId="7A188B81" w14:textId="77777777" w:rsidR="009B3C99" w:rsidRPr="00882489" w:rsidRDefault="009B3C99" w:rsidP="00882489">
      <w:pPr>
        <w:spacing w:after="240"/>
        <w:jc w:val="center"/>
        <w:rPr>
          <w:rFonts w:cs="Times New Roman"/>
          <w:b/>
          <w:sz w:val="28"/>
          <w:szCs w:val="28"/>
          <w:lang w:val="es-US"/>
        </w:rPr>
      </w:pPr>
    </w:p>
    <w:p w14:paraId="4B159248" w14:textId="0F53595C" w:rsidR="00FC7ED4" w:rsidRDefault="00FC7ED4" w:rsidP="00882489">
      <w:pPr>
        <w:spacing w:after="240"/>
        <w:jc w:val="center"/>
        <w:rPr>
          <w:rFonts w:cs="Times New Roman"/>
          <w:b/>
          <w:sz w:val="28"/>
          <w:szCs w:val="28"/>
          <w:lang w:val="es-US"/>
        </w:rPr>
      </w:pPr>
    </w:p>
    <w:p w14:paraId="55A733C1" w14:textId="77777777" w:rsidR="00882489" w:rsidRPr="00882489" w:rsidRDefault="00882489" w:rsidP="00882489">
      <w:pPr>
        <w:spacing w:after="240"/>
        <w:jc w:val="center"/>
        <w:rPr>
          <w:rFonts w:cs="Times New Roman"/>
          <w:b/>
          <w:sz w:val="28"/>
          <w:szCs w:val="28"/>
          <w:lang w:val="es-US"/>
        </w:rPr>
      </w:pPr>
    </w:p>
    <w:p w14:paraId="6FD26A11" w14:textId="5C0BD970" w:rsidR="009B3C99" w:rsidRPr="00882489" w:rsidRDefault="00B160A3" w:rsidP="00882489">
      <w:pPr>
        <w:spacing w:after="0" w:line="240" w:lineRule="auto"/>
        <w:jc w:val="center"/>
        <w:rPr>
          <w:rFonts w:cs="Times New Roman"/>
          <w:b/>
          <w:bCs/>
          <w:sz w:val="28"/>
          <w:szCs w:val="28"/>
          <w:lang w:val="es-US"/>
        </w:rPr>
      </w:pPr>
      <w:r w:rsidRPr="24E2CCA2">
        <w:rPr>
          <w:rFonts w:cs="Times New Roman"/>
          <w:b/>
          <w:bCs/>
          <w:sz w:val="28"/>
          <w:szCs w:val="28"/>
          <w:lang w:val="es-US"/>
        </w:rPr>
        <w:t>Eli</w:t>
      </w:r>
      <w:r w:rsidR="20F679D8" w:rsidRPr="24E2CCA2">
        <w:rPr>
          <w:rFonts w:cs="Times New Roman"/>
          <w:b/>
          <w:bCs/>
          <w:sz w:val="28"/>
          <w:szCs w:val="28"/>
          <w:lang w:val="es-US"/>
        </w:rPr>
        <w:t>á</w:t>
      </w:r>
      <w:r w:rsidRPr="24E2CCA2">
        <w:rPr>
          <w:rFonts w:cs="Times New Roman"/>
          <w:b/>
          <w:bCs/>
          <w:sz w:val="28"/>
          <w:szCs w:val="28"/>
          <w:lang w:val="es-US"/>
        </w:rPr>
        <w:t>n</w:t>
      </w:r>
      <w:r w:rsidRPr="51861584">
        <w:rPr>
          <w:rFonts w:cs="Times New Roman"/>
          <w:b/>
          <w:bCs/>
          <w:sz w:val="28"/>
          <w:szCs w:val="28"/>
          <w:lang w:val="es-US"/>
        </w:rPr>
        <w:t xml:space="preserve"> Durán</w:t>
      </w:r>
    </w:p>
    <w:p w14:paraId="4AECF3AE" w14:textId="77746B33" w:rsidR="00B160A3" w:rsidRPr="00882489" w:rsidRDefault="00B160A3" w:rsidP="00882489">
      <w:pPr>
        <w:spacing w:after="0" w:line="240" w:lineRule="auto"/>
        <w:jc w:val="center"/>
        <w:rPr>
          <w:rFonts w:cs="Times New Roman"/>
          <w:b/>
          <w:bCs/>
          <w:sz w:val="28"/>
          <w:szCs w:val="28"/>
          <w:lang w:val="es-US"/>
        </w:rPr>
      </w:pPr>
      <w:r w:rsidRPr="59E5E92F">
        <w:rPr>
          <w:rFonts w:cs="Times New Roman"/>
          <w:b/>
          <w:bCs/>
          <w:sz w:val="28"/>
          <w:szCs w:val="28"/>
          <w:lang w:val="es-US"/>
        </w:rPr>
        <w:t>Juli</w:t>
      </w:r>
      <w:r w:rsidR="24BF7546" w:rsidRPr="59E5E92F">
        <w:rPr>
          <w:rFonts w:cs="Times New Roman"/>
          <w:b/>
          <w:bCs/>
          <w:sz w:val="28"/>
          <w:szCs w:val="28"/>
          <w:lang w:val="es-US"/>
        </w:rPr>
        <w:t>á</w:t>
      </w:r>
      <w:r w:rsidRPr="59E5E92F">
        <w:rPr>
          <w:rFonts w:cs="Times New Roman"/>
          <w:b/>
          <w:bCs/>
          <w:sz w:val="28"/>
          <w:szCs w:val="28"/>
          <w:lang w:val="es-US"/>
        </w:rPr>
        <w:t>n</w:t>
      </w:r>
      <w:r w:rsidRPr="4C177B89">
        <w:rPr>
          <w:rFonts w:cs="Times New Roman"/>
          <w:b/>
          <w:bCs/>
          <w:sz w:val="28"/>
          <w:szCs w:val="28"/>
          <w:lang w:val="es-US"/>
        </w:rPr>
        <w:t xml:space="preserve"> Osorio</w:t>
      </w:r>
    </w:p>
    <w:p w14:paraId="212B86EB" w14:textId="4862C79D" w:rsidR="00B160A3" w:rsidRPr="00882489" w:rsidRDefault="00B160A3" w:rsidP="00882489">
      <w:pPr>
        <w:spacing w:after="0" w:line="240" w:lineRule="auto"/>
        <w:jc w:val="center"/>
        <w:rPr>
          <w:rFonts w:cs="Times New Roman"/>
          <w:b/>
          <w:sz w:val="28"/>
          <w:szCs w:val="28"/>
          <w:lang w:val="es-US"/>
        </w:rPr>
      </w:pPr>
      <w:r w:rsidRPr="00882489">
        <w:rPr>
          <w:rFonts w:cs="Times New Roman"/>
          <w:b/>
          <w:sz w:val="28"/>
          <w:szCs w:val="28"/>
          <w:lang w:val="es-US"/>
        </w:rPr>
        <w:t>Anderson Gonzalez</w:t>
      </w:r>
    </w:p>
    <w:p w14:paraId="09A2BF13" w14:textId="266E252E" w:rsidR="006D72BB" w:rsidRPr="00882489" w:rsidRDefault="006D72BB" w:rsidP="00882489">
      <w:pPr>
        <w:jc w:val="center"/>
        <w:rPr>
          <w:rFonts w:cs="Times New Roman"/>
          <w:b/>
          <w:sz w:val="28"/>
          <w:szCs w:val="28"/>
          <w:lang w:val="es-US"/>
        </w:rPr>
      </w:pPr>
    </w:p>
    <w:p w14:paraId="2305274E" w14:textId="77777777" w:rsidR="00D101DE" w:rsidRDefault="00D101DE" w:rsidP="00882489">
      <w:pPr>
        <w:jc w:val="center"/>
        <w:rPr>
          <w:rFonts w:cs="Times New Roman"/>
          <w:b/>
          <w:sz w:val="28"/>
          <w:szCs w:val="28"/>
          <w:lang w:val="es-US"/>
        </w:rPr>
      </w:pPr>
    </w:p>
    <w:p w14:paraId="692B4E17" w14:textId="77777777" w:rsidR="00882489" w:rsidRPr="00882489" w:rsidRDefault="00882489" w:rsidP="00882489">
      <w:pPr>
        <w:jc w:val="center"/>
        <w:rPr>
          <w:rFonts w:cs="Times New Roman"/>
          <w:b/>
          <w:sz w:val="28"/>
          <w:szCs w:val="28"/>
          <w:lang w:val="es-US"/>
        </w:rPr>
      </w:pPr>
    </w:p>
    <w:p w14:paraId="77C730C6" w14:textId="77777777" w:rsidR="00D101DE" w:rsidRPr="00882489" w:rsidRDefault="00D101DE" w:rsidP="00882489">
      <w:pPr>
        <w:jc w:val="center"/>
        <w:rPr>
          <w:rFonts w:cs="Times New Roman"/>
          <w:b/>
          <w:sz w:val="28"/>
          <w:szCs w:val="28"/>
          <w:lang w:val="es-US"/>
        </w:rPr>
      </w:pPr>
    </w:p>
    <w:p w14:paraId="083E3CC1" w14:textId="77777777" w:rsidR="001D1151" w:rsidRPr="00882489" w:rsidRDefault="001D1151" w:rsidP="00882489">
      <w:pPr>
        <w:spacing w:after="0"/>
        <w:jc w:val="center"/>
        <w:rPr>
          <w:rFonts w:cs="Times New Roman"/>
          <w:b/>
          <w:sz w:val="28"/>
          <w:szCs w:val="28"/>
          <w:lang w:val="es-US"/>
        </w:rPr>
      </w:pPr>
      <w:r w:rsidRPr="00882489">
        <w:rPr>
          <w:rFonts w:cs="Times New Roman"/>
          <w:b/>
          <w:sz w:val="28"/>
          <w:szCs w:val="28"/>
          <w:lang w:val="es-US"/>
        </w:rPr>
        <w:t>Universidad de los Andes</w:t>
      </w:r>
    </w:p>
    <w:p w14:paraId="590D6E9C" w14:textId="68DD7808" w:rsidR="001D1151" w:rsidRPr="00882489" w:rsidRDefault="001D1151" w:rsidP="00882489">
      <w:pPr>
        <w:spacing w:after="0"/>
        <w:jc w:val="center"/>
        <w:rPr>
          <w:rFonts w:cs="Times New Roman"/>
          <w:b/>
          <w:sz w:val="28"/>
          <w:szCs w:val="28"/>
          <w:lang w:val="es-US"/>
        </w:rPr>
      </w:pPr>
      <w:r w:rsidRPr="00882489">
        <w:rPr>
          <w:rFonts w:cs="Times New Roman"/>
          <w:b/>
          <w:sz w:val="28"/>
          <w:szCs w:val="28"/>
          <w:lang w:val="es-US"/>
        </w:rPr>
        <w:t>Facultad de Ingeniería</w:t>
      </w:r>
      <w:r w:rsidR="00416270" w:rsidRPr="00882489">
        <w:rPr>
          <w:rFonts w:cs="Times New Roman"/>
          <w:b/>
          <w:sz w:val="28"/>
          <w:szCs w:val="28"/>
          <w:lang w:val="es-US"/>
        </w:rPr>
        <w:t xml:space="preserve"> Industrial</w:t>
      </w:r>
    </w:p>
    <w:p w14:paraId="52150EE3" w14:textId="73592FE9" w:rsidR="00B160A3" w:rsidRPr="00882489" w:rsidRDefault="001D1151" w:rsidP="00882489">
      <w:pPr>
        <w:spacing w:after="0"/>
        <w:jc w:val="center"/>
        <w:rPr>
          <w:rFonts w:cs="Times New Roman"/>
          <w:b/>
          <w:sz w:val="28"/>
          <w:szCs w:val="28"/>
          <w:lang w:val="es-US"/>
        </w:rPr>
      </w:pPr>
      <w:r w:rsidRPr="00882489">
        <w:rPr>
          <w:rFonts w:cs="Times New Roman"/>
          <w:b/>
          <w:sz w:val="28"/>
          <w:szCs w:val="28"/>
          <w:lang w:val="es-US"/>
        </w:rPr>
        <w:t>Maestría en Inteligencia Analítica para la Toma de Decisiones</w:t>
      </w:r>
    </w:p>
    <w:p w14:paraId="60A9C938" w14:textId="77777777" w:rsidR="00B160A3" w:rsidRPr="00882489" w:rsidRDefault="00B160A3" w:rsidP="00882489">
      <w:pPr>
        <w:jc w:val="center"/>
        <w:rPr>
          <w:rFonts w:cs="Times New Roman"/>
          <w:b/>
          <w:sz w:val="28"/>
          <w:szCs w:val="28"/>
          <w:lang w:val="es-US"/>
        </w:rPr>
      </w:pPr>
    </w:p>
    <w:p w14:paraId="308F7C92" w14:textId="77777777" w:rsidR="00D101DE" w:rsidRPr="00882489" w:rsidRDefault="00D101DE" w:rsidP="00882489">
      <w:pPr>
        <w:jc w:val="center"/>
        <w:rPr>
          <w:rFonts w:cs="Times New Roman"/>
          <w:b/>
          <w:sz w:val="28"/>
          <w:szCs w:val="28"/>
          <w:lang w:val="es-US"/>
        </w:rPr>
      </w:pPr>
    </w:p>
    <w:p w14:paraId="42BE3DD9" w14:textId="77777777" w:rsidR="00416270" w:rsidRDefault="00416270" w:rsidP="00882489">
      <w:pPr>
        <w:jc w:val="center"/>
        <w:rPr>
          <w:rFonts w:cs="Times New Roman"/>
          <w:b/>
          <w:sz w:val="28"/>
          <w:szCs w:val="28"/>
          <w:lang w:val="es-US"/>
        </w:rPr>
      </w:pPr>
    </w:p>
    <w:p w14:paraId="6D7554CE" w14:textId="77777777" w:rsidR="00882489" w:rsidRPr="00882489" w:rsidRDefault="00882489" w:rsidP="00882489">
      <w:pPr>
        <w:jc w:val="center"/>
        <w:rPr>
          <w:rFonts w:cs="Times New Roman"/>
          <w:b/>
          <w:sz w:val="28"/>
          <w:szCs w:val="28"/>
          <w:lang w:val="es-US"/>
        </w:rPr>
      </w:pPr>
    </w:p>
    <w:p w14:paraId="11B23D8B" w14:textId="77777777" w:rsidR="00416270" w:rsidRPr="00882489" w:rsidRDefault="00416270" w:rsidP="00882489">
      <w:pPr>
        <w:jc w:val="center"/>
        <w:rPr>
          <w:rFonts w:cs="Times New Roman"/>
          <w:b/>
          <w:sz w:val="28"/>
          <w:szCs w:val="28"/>
          <w:lang w:val="es-US"/>
        </w:rPr>
      </w:pPr>
    </w:p>
    <w:p w14:paraId="6ED55898" w14:textId="77777777" w:rsidR="00416270" w:rsidRPr="00882489" w:rsidRDefault="00416270" w:rsidP="00882489">
      <w:pPr>
        <w:jc w:val="center"/>
        <w:rPr>
          <w:rFonts w:cs="Times New Roman"/>
          <w:b/>
          <w:sz w:val="28"/>
          <w:szCs w:val="28"/>
          <w:lang w:val="es-US"/>
        </w:rPr>
      </w:pPr>
    </w:p>
    <w:p w14:paraId="0097C390" w14:textId="77777777" w:rsidR="00882489" w:rsidRPr="00882489" w:rsidRDefault="00882489" w:rsidP="00882489">
      <w:pPr>
        <w:jc w:val="center"/>
        <w:rPr>
          <w:rFonts w:cs="Times New Roman"/>
          <w:b/>
          <w:sz w:val="28"/>
          <w:szCs w:val="28"/>
          <w:lang w:val="es-US"/>
        </w:rPr>
      </w:pPr>
    </w:p>
    <w:p w14:paraId="72718E66" w14:textId="77777777" w:rsidR="00416270" w:rsidRPr="00882489" w:rsidRDefault="00416270" w:rsidP="00882489">
      <w:pPr>
        <w:jc w:val="center"/>
        <w:rPr>
          <w:rFonts w:cs="Times New Roman"/>
          <w:b/>
          <w:sz w:val="28"/>
          <w:szCs w:val="28"/>
          <w:lang w:val="es-US"/>
        </w:rPr>
      </w:pPr>
    </w:p>
    <w:p w14:paraId="7FA84195" w14:textId="09EE6A99" w:rsidR="006D72BB" w:rsidRPr="00882489" w:rsidRDefault="001D1151" w:rsidP="00882489">
      <w:pPr>
        <w:jc w:val="center"/>
        <w:rPr>
          <w:rFonts w:cs="Times New Roman"/>
          <w:b/>
          <w:sz w:val="28"/>
          <w:szCs w:val="28"/>
          <w:lang w:val="es-US"/>
        </w:rPr>
      </w:pPr>
      <w:r>
        <w:rPr>
          <w:rFonts w:ascii="Times New Roman" w:hAnsi="Times New Roman" w:eastAsia="Times New Roman"/>
          <w:b/>
          <w:color w:val="000000"/>
          <w:sz w:val="28"/>
        </w:rPr>
        <w:t>Bogotá D.C., septiembre de 2026</w:t>
      </w:r>
    </w:p>
    <w:p>
      <w:r>
        <w:br w:type="page"/>
      </w:r>
    </w:p>
    <w:p>
      <w:pPr>
        <w:pStyle w:val="Ttulo1"/>
        <w:keepNext/>
        <w:widowControl/>
      </w:pPr>
      <w:r>
        <w:rPr>
          <w:rFonts w:ascii="Times New Roman" w:hAnsi="Times New Roman" w:eastAsia="Times New Roman"/>
          <w:b/>
          <w:color w:val="000000"/>
          <w:sz w:val="28"/>
        </w:rPr>
        <w:t>Propósito de este documento</w:t>
      </w:r>
    </w:p>
    <w:p>
      <w:pPr>
        <w:widowControl/>
        <w:spacing w:after="120"/>
        <w:jc w:val="both"/>
      </w:pPr>
      <w:r>
        <w:rPr>
          <w:rFonts w:ascii="Times New Roman" w:hAnsi="Times New Roman" w:eastAsia="Times New Roman"/>
          <w:i w:val="0"/>
          <w:color w:val="000000"/>
          <w:sz w:val="24"/>
        </w:rPr>
        <w:t>Esta versión reorganiza la estructura del informe final a partir de las asesorías de septiembre de 2026. Conserva los requisitos de Trabajo Práctico de Grado 2, reduce la fragmentación de la introducción, separa los antecedentes del análisis de los datos y establece una correspondencia exacta entre las secciones internas de metodología y resultados.</w:t>
      </w:r>
    </w:p>
    <w:p>
      <w:pPr>
        <w:widowControl/>
        <w:spacing w:after="120"/>
        <w:jc w:val="both"/>
      </w:pPr>
      <w:r>
        <w:rPr>
          <w:rFonts w:ascii="Times New Roman" w:hAnsi="Times New Roman" w:eastAsia="Times New Roman"/>
          <w:i w:val="0"/>
          <w:color w:val="000000"/>
          <w:sz w:val="24"/>
        </w:rPr>
        <w:t>Las descripciones bajo cada título funcionarán como guía de escritura. Se reemplazarán gradualmente por contenido definitivo, tablas, figuras y resultados. El documento deberá mantener una narrativa continua: problema de negocio, información disponible, decisiones metodológicas, evidencia obtenida y valor para La Gaitana Farms.</w:t>
      </w:r>
    </w:p>
    <w:p>
      <w:pPr>
        <w:pStyle w:val="Ttulo1"/>
        <w:keepNext/>
        <w:widowControl/>
      </w:pPr>
      <w:r>
        <w:rPr>
          <w:rFonts w:ascii="Times New Roman" w:hAnsi="Times New Roman" w:eastAsia="Times New Roman"/>
          <w:b/>
          <w:color w:val="000000"/>
          <w:sz w:val="28"/>
        </w:rPr>
        <w:t>Ajustes incorporados después de la asesoría</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47"/>
        <w:gridCol w:w="2947"/>
        <w:gridCol w:w="2947"/>
      </w:tblGrid>
      <w:tr>
        <w:trPr>
          <w:tblHeader w:val="true"/>
        </w:trPr>
        <w:tc>
          <w:tcPr>
            <w:tcW w:type="dxa" w:w="1656"/>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Tema</w:t>
            </w:r>
          </w:p>
        </w:tc>
        <w:tc>
          <w:tcPr>
            <w:tcW w:type="dxa" w:w="3672"/>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Cambio estructural</w:t>
            </w:r>
          </w:p>
        </w:tc>
        <w:tc>
          <w:tcPr>
            <w:tcW w:type="dxa" w:w="3672"/>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Razón</w:t>
            </w:r>
          </w:p>
        </w:tc>
      </w:tr>
      <w:tr>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Introducción</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Agrupar contexto, situación actual, actores, problema, alcance y objetivos en pocas subsecciones.</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Evita una apertura fragmentada y mantiene el foco en la decisión de negocio.</w:t>
            </w:r>
          </w:p>
        </w:tc>
      </w:tr>
      <w:tr>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Antecedentes</w:t>
            </w:r>
          </w:p>
        </w:tc>
        <w:tc>
          <w:tcPr>
            <w:tcW w:type="dxa" w:w="367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Limitar el capítulo 2 a la evidencia publicada, los métodos reportados y el vacío que aborda el proyecto.</w:t>
            </w:r>
          </w:p>
        </w:tc>
        <w:tc>
          <w:tcPr>
            <w:tcW w:type="dxa" w:w="367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Evita repetir la descripción de las fuentes y los hallazgos propios del caso.</w:t>
            </w:r>
          </w:p>
        </w:tc>
      </w:tr>
      <w:tr>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Datos y EDA</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Reservar el capítulo 3 para las fuentes de La Gaitana, la construcción de la base y la exploración descriptiva.</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Distingue con claridad lo que proviene de la literatura de lo que muestran los datos de la empresa.</w:t>
            </w:r>
          </w:p>
        </w:tc>
      </w:tr>
      <w:tr>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Metodología</w:t>
            </w:r>
          </w:p>
        </w:tc>
        <w:tc>
          <w:tcPr>
            <w:tcW w:type="dxa" w:w="367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Organizarla en cinco fases con títulos y subtítulos que se repiten literalmente en el capítulo 5.</w:t>
            </w:r>
          </w:p>
        </w:tc>
        <w:tc>
          <w:tcPr>
            <w:tcW w:type="dxa" w:w="367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Permite verificar qué resultado corresponde a cada procedimiento.</w:t>
            </w:r>
          </w:p>
        </w:tc>
      </w:tr>
      <w:tr>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Resultados</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Usar la misma jerarquía interna del capítulo 4 e integrar la discusión dentro de cada sección.</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Asegura correspondencia uno a uno y evita un capítulo de discusión separado.</w:t>
            </w:r>
          </w:p>
        </w:tc>
      </w:tr>
      <w:tr>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Productos</w:t>
            </w:r>
          </w:p>
        </w:tc>
        <w:tc>
          <w:tcPr>
            <w:tcW w:type="dxa" w:w="367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Ubicar modelo, tablero y validación con la empresa dentro de metodología y resultados.</w:t>
            </w:r>
          </w:p>
        </w:tc>
        <w:tc>
          <w:tcPr>
            <w:tcW w:type="dxa" w:w="367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Son parte de la solución y de la generación de valor, no simples anexos.</w:t>
            </w:r>
          </w:p>
        </w:tc>
      </w:tr>
      <w:tr>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Elementos finales</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Eliminar el abstract, dejar listas de tablas y figuras condicionadas y mover el glosario al final.</w:t>
            </w:r>
          </w:p>
        </w:tc>
        <w:tc>
          <w:tcPr>
            <w:tcW w:type="dxa" w:w="367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Responde directamente a las observaciones realizadas sobre los elementos preliminares.</w:t>
            </w:r>
          </w:p>
        </w:tc>
      </w:tr>
    </w:tbl>
    <w:p>
      <w:pPr>
        <w:spacing w:after="40"/>
      </w:pPr>
    </w:p>
    <w:p>
      <w:pPr>
        <w:pStyle w:val="Ttulo1"/>
        <w:keepNext/>
        <w:widowControl/>
      </w:pPr>
      <w:r>
        <w:rPr>
          <w:rFonts w:ascii="Times New Roman" w:hAnsi="Times New Roman" w:eastAsia="Times New Roman"/>
          <w:b/>
          <w:color w:val="000000"/>
          <w:sz w:val="28"/>
        </w:rPr>
        <w:t>Correspondencia con Trabajo Práctico de Grado 2</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47"/>
        <w:gridCol w:w="2947"/>
        <w:gridCol w:w="2947"/>
      </w:tblGrid>
      <w:tr>
        <w:trPr>
          <w:tblHeader w:val="true"/>
        </w:trPr>
        <w:tc>
          <w:tcPr>
            <w:tcW w:type="dxa" w:w="2304"/>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Elemento</w:t>
            </w:r>
          </w:p>
        </w:tc>
        <w:tc>
          <w:tcPr>
            <w:tcW w:type="dxa" w:w="1944"/>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Ubicación</w:t>
            </w:r>
          </w:p>
        </w:tc>
        <w:tc>
          <w:tcPr>
            <w:tcW w:type="dxa" w:w="4752"/>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Respuesta propuesta</w:t>
            </w:r>
          </w:p>
        </w:tc>
      </w:tr>
      <w:tr>
        <w:tc>
          <w:tcPr>
            <w:tcW w:type="dxa" w:w="230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Pregunta de negocio</w:t>
            </w:r>
          </w:p>
        </w:tc>
        <w:tc>
          <w:tcPr>
            <w:tcW w:type="dxa" w:w="194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Capítulo 1</w:t>
            </w:r>
          </w:p>
        </w:tc>
        <w:tc>
          <w:tcPr>
            <w:tcW w:type="dxa" w:w="475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Contexto, problema, decisión, alcance y objetivos</w:t>
            </w:r>
          </w:p>
        </w:tc>
      </w:tr>
      <w:tr>
        <w:tc>
          <w:tcPr>
            <w:tcW w:type="dxa" w:w="230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Uso y análisis de la información</w:t>
            </w:r>
          </w:p>
        </w:tc>
        <w:tc>
          <w:tcPr>
            <w:tcW w:type="dxa" w:w="194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Capítulo 3</w:t>
            </w:r>
          </w:p>
        </w:tc>
        <w:tc>
          <w:tcPr>
            <w:tcW w:type="dxa" w:w="475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Fuentes, integración, calidad y EDA descriptivo</w:t>
            </w:r>
          </w:p>
        </w:tc>
      </w:tr>
      <w:tr>
        <w:tc>
          <w:tcPr>
            <w:tcW w:type="dxa" w:w="230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Metodología</w:t>
            </w:r>
          </w:p>
        </w:tc>
        <w:tc>
          <w:tcPr>
            <w:tcW w:type="dxa" w:w="194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Capítulo 4</w:t>
            </w:r>
          </w:p>
        </w:tc>
        <w:tc>
          <w:tcPr>
            <w:tcW w:type="dxa" w:w="475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Cinco fases reproducibles</w:t>
            </w:r>
          </w:p>
        </w:tc>
      </w:tr>
      <w:tr>
        <w:tc>
          <w:tcPr>
            <w:tcW w:type="dxa" w:w="230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Resultados</w:t>
            </w:r>
          </w:p>
        </w:tc>
        <w:tc>
          <w:tcPr>
            <w:tcW w:type="dxa" w:w="194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Capítulo 5</w:t>
            </w:r>
          </w:p>
        </w:tc>
        <w:tc>
          <w:tcPr>
            <w:tcW w:type="dxa" w:w="4752"/>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Resultados y discusión en el mismo orden de las fases</w:t>
            </w:r>
          </w:p>
        </w:tc>
      </w:tr>
      <w:tr>
        <w:tc>
          <w:tcPr>
            <w:tcW w:type="dxa" w:w="230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Generación de valor</w:t>
            </w:r>
          </w:p>
        </w:tc>
        <w:tc>
          <w:tcPr>
            <w:tcW w:type="dxa" w:w="194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Secciones 4.5 y 5.5</w:t>
            </w:r>
          </w:p>
        </w:tc>
        <w:tc>
          <w:tcPr>
            <w:tcW w:type="dxa" w:w="4752"/>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Tablero, validación empresarial, indicadores y adopción</w:t>
            </w:r>
          </w:p>
        </w:tc>
      </w:tr>
    </w:tbl>
    <w:p>
      <w:pPr>
        <w:spacing w:after="40"/>
      </w:pPr>
    </w:p>
    <w:p>
      <w:pPr>
        <w:pStyle w:val="Ttulo2"/>
        <w:keepNext/>
        <w:widowControl/>
      </w:pPr>
      <w:r>
        <w:rPr>
          <w:rFonts w:ascii="Times New Roman" w:hAnsi="Times New Roman" w:eastAsia="Times New Roman"/>
          <w:b/>
          <w:color w:val="000000"/>
          <w:sz w:val="25"/>
        </w:rPr>
        <w:t>Correspondencia entre metodología y resultados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421"/>
        <w:gridCol w:w="4421"/>
      </w:tblGrid>
      <w:tr>
        <w:trPr>
          <w:tblHeader w:val="true"/>
        </w:trPr>
        <w:tc>
          <w:tcPr>
            <w:tcW w:type="dxa" w:w="4464"/>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Capítulo 4 Metodología</w:t>
            </w:r>
          </w:p>
        </w:tc>
        <w:tc>
          <w:tcPr>
            <w:tcW w:type="dxa" w:w="4464"/>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Capítulo 5 Resultados y discusión</w:t>
            </w:r>
          </w:p>
        </w:tc>
      </w:tr>
      <w:tr>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4.1 Caracterización multivariada</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5.1 Caracterización multivariada</w:t>
            </w:r>
          </w:p>
        </w:tc>
      </w:tr>
      <w:tr>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4.2 Representación temporal y construcción de variables</w:t>
            </w:r>
          </w:p>
        </w:tc>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5.2 Representación temporal y construcción de variables</w:t>
            </w:r>
          </w:p>
        </w:tc>
      </w:tr>
      <w:tr>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4.3 Pronóstico semanal</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5.3 Pronóstico semanal</w:t>
            </w:r>
          </w:p>
        </w:tc>
      </w:tr>
      <w:tr>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4.4 Distribución intrasemanal</w:t>
            </w:r>
          </w:p>
        </w:tc>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5.4 Distribución intrasemanal</w:t>
            </w:r>
          </w:p>
        </w:tc>
      </w:tr>
      <w:tr>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4.5 Comunicación y validación empresarial</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5.5 Comunicación y validación empresarial</w:t>
            </w:r>
          </w:p>
        </w:tc>
      </w:tr>
    </w:tbl>
    <w:p>
      <w:pPr>
        <w:spacing w:after="40"/>
      </w:pPr>
    </w:p>
    <w:p>
      <w:pPr>
        <w:widowControl/>
        <w:spacing w:after="120"/>
        <w:jc w:val="both"/>
      </w:pPr>
      <w:r>
        <w:rPr>
          <w:rFonts w:ascii="Times New Roman" w:hAnsi="Times New Roman" w:eastAsia="Times New Roman"/>
          <w:i w:val="0"/>
          <w:color w:val="000000"/>
          <w:sz w:val="24"/>
        </w:rPr>
        <w:t>La correspondencia se mantendrá también en el tercer nivel de numeración. Por ejemplo, 4.1.2 Relación entre PCA y PDN tendrá como sección espejo 5.1.2 Relación entre PCA y PDN.</w:t>
      </w:r>
    </w:p>
    <w:p>
      <w:pPr>
        <w:pStyle w:val="Ttulo1"/>
        <w:keepNext/>
        <w:widowControl/>
      </w:pPr>
      <w:r>
        <w:rPr>
          <w:rFonts w:ascii="Times New Roman" w:hAnsi="Times New Roman" w:eastAsia="Times New Roman"/>
          <w:b/>
          <w:color w:val="000000"/>
          <w:sz w:val="28"/>
        </w:rPr>
        <w:t>Estado de avance que orienta la redacción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47"/>
        <w:gridCol w:w="2947"/>
        <w:gridCol w:w="2947"/>
      </w:tblGrid>
      <w:tr>
        <w:trPr>
          <w:tblHeader w:val="true"/>
        </w:trPr>
        <w:tc>
          <w:tcPr>
            <w:tcW w:type="dxa" w:w="2880"/>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Componente</w:t>
            </w:r>
          </w:p>
        </w:tc>
        <w:tc>
          <w:tcPr>
            <w:tcW w:type="dxa" w:w="1656"/>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Estado</w:t>
            </w:r>
          </w:p>
        </w:tc>
        <w:tc>
          <w:tcPr>
            <w:tcW w:type="dxa" w:w="4464"/>
            <w:vAlign w:val="center"/>
            <w:tcMar>
              <w:top w:w="105" w:type="dxa"/>
              <w:start w:w="125" w:type="dxa"/>
              <w:bottom w:w="105" w:type="dxa"/>
              <w:end w:w="125" w:type="dxa"/>
            </w:tcMar>
            <w:shd w:fill="D9EAF7"/>
          </w:tcPr>
          <w:p>
            <w:pPr>
              <w:spacing w:after="0" w:line="240" w:lineRule="auto"/>
              <w:jc w:val="left"/>
            </w:pPr>
            <w:r>
              <w:rPr>
                <w:rFonts w:ascii="Times New Roman" w:hAnsi="Times New Roman" w:eastAsia="Times New Roman"/>
                <w:b/>
                <w:color w:val="000000"/>
                <w:sz w:val="20"/>
              </w:rPr>
              <w:t>Implicación para el documento</w:t>
            </w:r>
          </w:p>
        </w:tc>
      </w:tr>
      <w:tr>
        <w:tc>
          <w:tcPr>
            <w:tcW w:type="dxa" w:w="2880"/>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Proceso actual, curvas y estimado experto</w:t>
            </w:r>
          </w:p>
        </w:tc>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Avance disponible</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Puede comenzar a redactarse con los notebooks y validarse con Elián.</w:t>
            </w:r>
          </w:p>
        </w:tc>
      </w:tr>
      <w:tr>
        <w:tc>
          <w:tcPr>
            <w:tcW w:type="dxa" w:w="2880"/>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Base analítica</w:t>
            </w:r>
          </w:p>
        </w:tc>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En consolidación</w:t>
            </w:r>
          </w:p>
        </w:tc>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La cifra definitiva deberá actualizarse después de integrar las fuentes de SQL y fijar la granularidad.</w:t>
            </w:r>
          </w:p>
        </w:tc>
      </w:tr>
      <w:tr>
        <w:tc>
          <w:tcPr>
            <w:tcW w:type="dxa" w:w="2880"/>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Benchmark curva e ingeniero</w:t>
            </w:r>
          </w:p>
        </w:tc>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Preliminar</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Ya existen comparaciones por horizontes, pero deben recalcularse sobre la muestra final común.</w:t>
            </w:r>
          </w:p>
        </w:tc>
      </w:tr>
      <w:tr>
        <w:tc>
          <w:tcPr>
            <w:tcW w:type="dxa" w:w="2880"/>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PCA climático</w:t>
            </w:r>
          </w:p>
        </w:tc>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Preliminar</w:t>
            </w:r>
          </w:p>
        </w:tc>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Ya se trabajaron siete variables; faltan puntajes por periodo, rezagos y validación temporal.</w:t>
            </w:r>
          </w:p>
        </w:tc>
      </w:tr>
      <w:tr>
        <w:tc>
          <w:tcPr>
            <w:tcW w:type="dxa" w:w="2880"/>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Relación PCA y PDN</w:t>
            </w:r>
          </w:p>
        </w:tc>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Pendiente</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Antes de analizarla debe definirse PDN, su unidad, frecuencia y correspondencia con la variable objetivo.</w:t>
            </w:r>
          </w:p>
        </w:tc>
      </w:tr>
      <w:tr>
        <w:tc>
          <w:tcPr>
            <w:tcW w:type="dxa" w:w="2880"/>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MCA de producción</w:t>
            </w:r>
          </w:p>
        </w:tc>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En preparación</w:t>
            </w:r>
          </w:p>
        </w:tc>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Falta depurar categorías, excluir identificadores y evaluar variables suplementarias.</w:t>
            </w:r>
          </w:p>
        </w:tc>
      </w:tr>
      <w:tr>
        <w:tc>
          <w:tcPr>
            <w:tcW w:type="dxa" w:w="2880"/>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Forecasting semanal e intra-semanal</w:t>
            </w:r>
          </w:p>
        </w:tc>
        <w:tc>
          <w:tcPr>
            <w:tcW w:type="dxa" w:w="1656"/>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Por desarrollar</w:t>
            </w:r>
          </w:p>
        </w:tc>
        <w:tc>
          <w:tcPr>
            <w:tcW w:type="dxa" w:w="4464"/>
            <w:vAlign w:val="center"/>
            <w:tcMar>
              <w:top w:w="105" w:type="dxa"/>
              <w:start w:w="125" w:type="dxa"/>
              <w:bottom w:w="105" w:type="dxa"/>
              <w:end w:w="125" w:type="dxa"/>
            </w:tcMar>
            <w:shd w:fill="F2F2F2"/>
          </w:tcPr>
          <w:p>
            <w:pPr>
              <w:spacing w:after="0" w:line="240" w:lineRule="auto"/>
              <w:jc w:val="left"/>
            </w:pPr>
            <w:r>
              <w:rPr>
                <w:rFonts w:ascii="Times New Roman" w:hAnsi="Times New Roman" w:eastAsia="Times New Roman"/>
                <w:b w:val="0"/>
                <w:color w:val="000000"/>
                <w:sz w:val="20"/>
              </w:rPr>
              <w:t>Faltan entrenamiento, backtesting, comparación y selección.</w:t>
            </w:r>
          </w:p>
        </w:tc>
      </w:tr>
      <w:tr>
        <w:tc>
          <w:tcPr>
            <w:tcW w:type="dxa" w:w="2880"/>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Tablero y validación empresarial</w:t>
            </w:r>
          </w:p>
        </w:tc>
        <w:tc>
          <w:tcPr>
            <w:tcW w:type="dxa" w:w="1656"/>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Prototipo inicial</w:t>
            </w:r>
          </w:p>
        </w:tc>
        <w:tc>
          <w:tcPr>
            <w:tcW w:type="dxa" w:w="4464"/>
            <w:vAlign w:val="center"/>
            <w:tcMar>
              <w:top w:w="105" w:type="dxa"/>
              <w:start w:w="125" w:type="dxa"/>
              <w:bottom w:w="105" w:type="dxa"/>
              <w:end w:w="125" w:type="dxa"/>
            </w:tcMar>
            <w:shd w:fill="FFFFFF"/>
          </w:tcPr>
          <w:p>
            <w:pPr>
              <w:spacing w:after="0" w:line="240" w:lineRule="auto"/>
              <w:jc w:val="left"/>
            </w:pPr>
            <w:r>
              <w:rPr>
                <w:rFonts w:ascii="Times New Roman" w:hAnsi="Times New Roman" w:eastAsia="Times New Roman"/>
                <w:b w:val="0"/>
                <w:color w:val="000000"/>
                <w:sz w:val="20"/>
              </w:rPr>
              <w:t>Debe documentarse su uso y verificarse con usuarios y decisiones reales.</w:t>
            </w:r>
          </w:p>
        </w:tc>
      </w:tr>
    </w:tbl>
    <w:p>
      <w:pPr>
        <w:spacing w:after="40"/>
      </w:pPr>
    </w:p>
    <w:p>
      <w:pPr>
        <w:pStyle w:val="Ttulo1"/>
        <w:keepNext/>
        <w:widowControl/>
      </w:pPr>
      <w:r>
        <w:rPr>
          <w:rFonts w:ascii="Times New Roman" w:hAnsi="Times New Roman" w:eastAsia="Times New Roman"/>
          <w:b/>
          <w:color w:val="000000"/>
          <w:sz w:val="28"/>
        </w:rPr>
        <w:t>Elementos preliminares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Este bloque identificará el trabajo y facilitará su navegación. No incluirá abstract ni keywords en inglés, de acuerdo con la recomendación del asesor.</w:t>
      </w:r>
    </w:p>
    <w:p>
      <w:pPr>
        <w:pStyle w:val="Ttulo2"/>
        <w:keepNext/>
        <w:widowControl/>
      </w:pPr>
      <w:r>
        <w:rPr>
          <w:rFonts w:ascii="Times New Roman" w:hAnsi="Times New Roman" w:eastAsia="Times New Roman"/>
          <w:b/>
          <w:color w:val="000000"/>
          <w:sz w:val="25"/>
        </w:rPr>
        <w:t>Portada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Conservará el título definitivo, los nombres de los integrantes, la Universidad de los Andes, el programa, la ciudad y la fecha de entrega. La diagramación seguirá la portada del anteproyecto.</w:t>
      </w:r>
    </w:p>
    <w:p>
      <w:pPr>
        <w:pStyle w:val="Ttulo2"/>
        <w:keepNext/>
        <w:widowControl/>
      </w:pPr>
      <w:r>
        <w:rPr>
          <w:rFonts w:ascii="Times New Roman" w:hAnsi="Times New Roman" w:eastAsia="Times New Roman"/>
          <w:b/>
          <w:color w:val="000000"/>
          <w:sz w:val="25"/>
        </w:rPr>
        <w:t>Resumen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Sintetizará el problema de negocio, los datos, la metodología por fases, el resultado principal y el valor demostrado. Se escribirá cuando el modelo y la validación estén cerrados.</w:t>
      </w:r>
    </w:p>
    <w:p>
      <w:pPr>
        <w:pStyle w:val="Ttulo2"/>
        <w:keepNext/>
        <w:widowControl/>
      </w:pPr>
      <w:r>
        <w:rPr>
          <w:rFonts w:ascii="Times New Roman" w:hAnsi="Times New Roman" w:eastAsia="Times New Roman"/>
          <w:b/>
          <w:color w:val="000000"/>
          <w:sz w:val="25"/>
        </w:rPr>
        <w:t>Palabras clave</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Incluirá entre cuatro y seis términos que representen el trabajo, como pronóstico de producción, floricultura, series temporales, aprendizaje automático, PCA o planeación operativa.</w:t>
      </w:r>
    </w:p>
    <w:p>
      <w:pPr>
        <w:pStyle w:val="Ttulo2"/>
        <w:keepNext/>
        <w:widowControl/>
      </w:pPr>
      <w:r>
        <w:rPr>
          <w:rFonts w:ascii="Times New Roman" w:hAnsi="Times New Roman" w:eastAsia="Times New Roman"/>
          <w:b/>
          <w:color w:val="000000"/>
          <w:sz w:val="25"/>
        </w:rPr>
        <w:t>Tabla de contenido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Se generará automáticamente a partir de los estilos de títulos y subtítulos.</w:t>
      </w:r>
    </w:p>
    <w:p>
      <w:pPr>
        <w:pStyle w:val="Ttulo2"/>
        <w:keepNext/>
        <w:widowControl/>
      </w:pPr>
      <w:r>
        <w:rPr>
          <w:rFonts w:ascii="Times New Roman" w:hAnsi="Times New Roman" w:eastAsia="Times New Roman"/>
          <w:b/>
          <w:color w:val="000000"/>
          <w:sz w:val="25"/>
        </w:rPr>
        <w:t>Lista de tablas y lista de figuras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Se incluirán únicamente si la cantidad de tablas o figuras justifica listas independientes. La decisión se tomará al cerrar la diagramación final.</w:t>
      </w:r>
    </w:p>
    <w:p>
      <w:pPr>
        <w:pStyle w:val="Ttulo1"/>
        <w:keepNext/>
        <w:widowControl/>
      </w:pPr>
      <w:r>
        <w:rPr>
          <w:rFonts w:ascii="Times New Roman" w:hAnsi="Times New Roman" w:eastAsia="Times New Roman"/>
          <w:b/>
          <w:color w:val="000000"/>
          <w:sz w:val="28"/>
        </w:rPr>
        <w:t>1 Introducción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de manera concisa la historia completa del proyecto: contexto, funcionamiento actual, problema, decisión que se apoyará, alcance y objetivos. Cerrará con un breve párrafo sobre la organización del documento, sin crear una subsección independiente para ese propósito.</w:t>
      </w:r>
    </w:p>
    <w:p>
      <w:pPr>
        <w:pStyle w:val="Ttulo2"/>
        <w:keepNext/>
        <w:widowControl/>
      </w:pPr>
      <w:r>
        <w:rPr>
          <w:rFonts w:ascii="Times New Roman" w:hAnsi="Times New Roman" w:eastAsia="Times New Roman"/>
          <w:b/>
          <w:color w:val="000000"/>
          <w:sz w:val="25"/>
        </w:rPr>
        <w:t>1.1 Contexto y situación actual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Describirá brevemente a La Gaitana Farms, la importancia de la producción exportable y el proceso actual de planeación. Integrará aquí las curvas productivas, los planos, las camas piloto, el estimado experto y las áreas usuarias de la información. Los actores no tendrán una sección separada.</w:t>
      </w:r>
    </w:p>
    <w:p>
      <w:pPr>
        <w:pStyle w:val="Ttulo2"/>
        <w:keepNext/>
        <w:widowControl/>
      </w:pPr>
      <w:r>
        <w:rPr>
          <w:rFonts w:ascii="Times New Roman" w:hAnsi="Times New Roman" w:eastAsia="Times New Roman"/>
          <w:b/>
          <w:color w:val="000000"/>
          <w:sz w:val="25"/>
        </w:rPr>
        <w:t>1.2 Problema y decisión de negocio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Explicará cómo desviaciones por producto, color o variedad pueden permanecer ocultas detrás de un total agregado aceptable y afectar confirmaciones, compras, sustituciones y poscosecha. Formulará la pregunta de negocio, identificará la decisión que se desea mejorar y justificará el proyecto.</w:t>
      </w:r>
    </w:p>
    <w:p>
      <w:pPr>
        <w:pStyle w:val="Ttulo2"/>
        <w:keepNext/>
        <w:widowControl/>
      </w:pPr>
      <w:r>
        <w:rPr>
          <w:rFonts w:ascii="Times New Roman" w:hAnsi="Times New Roman" w:eastAsia="Times New Roman"/>
          <w:b/>
          <w:color w:val="000000"/>
          <w:sz w:val="25"/>
        </w:rPr>
        <w:t>1.3 Alcance y limitaciones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finca, productos, combinaciones, periodo, fuentes, unidad temporal, horizontes, usuarios y resultado esperado. Integrará las exclusiones dentro del mismo alcance y distinguirá el pronóstico semanal principal del posible modelo complementario de distribución por día.</w:t>
      </w:r>
    </w:p>
    <w:p>
      <w:pPr>
        <w:pStyle w:val="Ttulo2"/>
        <w:keepNext/>
        <w:widowControl/>
      </w:pPr>
      <w:r>
        <w:rPr>
          <w:rFonts w:ascii="Times New Roman" w:hAnsi="Times New Roman" w:eastAsia="Times New Roman"/>
          <w:b/>
          <w:color w:val="000000"/>
          <w:sz w:val="25"/>
        </w:rPr>
        <w:t>1.4 Objetivos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los objetivos después de haber explicado el alcance y las limitaciones, de modo que cada uno corresponda a un resultado verificable.</w:t>
      </w:r>
    </w:p>
    <w:p>
      <w:pPr>
        <w:pStyle w:val="Ttulo3"/>
        <w:keepNext/>
        <w:widowControl/>
      </w:pPr>
      <w:r>
        <w:rPr>
          <w:rFonts w:ascii="Times New Roman" w:hAnsi="Times New Roman" w:eastAsia="Times New Roman"/>
          <w:b/>
          <w:color w:val="000000"/>
          <w:sz w:val="23"/>
        </w:rPr>
        <w:t>1.4.1 Objetivo general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Planteará desarrollar y validar una solución de forecasting que mejore la estimación de tallos exportables frente a referencias definidas y apoye decisiones operativas.</w:t>
      </w:r>
    </w:p>
    <w:p>
      <w:pPr>
        <w:pStyle w:val="Ttulo3"/>
        <w:keepNext/>
        <w:widowControl/>
      </w:pPr>
      <w:r>
        <w:rPr>
          <w:rFonts w:ascii="Times New Roman" w:hAnsi="Times New Roman" w:eastAsia="Times New Roman"/>
          <w:b/>
          <w:color w:val="000000"/>
          <w:sz w:val="23"/>
        </w:rPr>
        <w:t>1.4.2 Objetivos específicos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Organizará objetivos asociados con caracterización de datos, análisis multivariado, construcción de variables, forecasting semanal, evaluación, comunicación y validación con la empresa. Cada objetivo deberá tener evidencia en resultados y una conclusión correspondiente.</w:t>
      </w:r>
    </w:p>
    <w:p>
      <w:pPr>
        <w:pStyle w:val="Ttulo1"/>
        <w:keepNext/>
        <w:widowControl/>
      </w:pPr>
      <w:r>
        <w:rPr>
          <w:rFonts w:ascii="Times New Roman" w:hAnsi="Times New Roman" w:eastAsia="Times New Roman"/>
          <w:b/>
          <w:color w:val="000000"/>
          <w:sz w:val="28"/>
        </w:rPr>
        <w:t>2 Antecedentes y vacío de conocimiento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Será una revisión breve de la literatura. Presentará qué se ha investigado, qué métodos se han utilizado y qué aspecto todavía no está resuelto para el caso de La Gaitana. No describirá las fuentes, la preparación ni los hallazgos de los datos de la empresa, porque esos elementos pertenecerán exclusivamente al capítulo 3.</w:t>
      </w:r>
    </w:p>
    <w:p>
      <w:pPr>
        <w:pStyle w:val="Ttulo2"/>
        <w:keepNext/>
        <w:widowControl/>
      </w:pPr>
      <w:r>
        <w:rPr>
          <w:rFonts w:ascii="Times New Roman" w:hAnsi="Times New Roman" w:eastAsia="Times New Roman"/>
          <w:b/>
          <w:color w:val="000000"/>
          <w:sz w:val="25"/>
        </w:rPr>
        <w:t>2.1 Pronóstico de producción agrícola y florícola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Sintetizará estudios que anticipan producción o cosecha futura. Liu et al. se presentará como referente de pronóstico semanal y Shamasundaran y Venugopalan como antecedente directo en flores.</w:t>
      </w:r>
    </w:p>
    <w:p>
      <w:pPr>
        <w:pStyle w:val="Ttulo2"/>
        <w:keepNext/>
        <w:widowControl/>
      </w:pPr>
      <w:r>
        <w:rPr>
          <w:rFonts w:ascii="Times New Roman" w:hAnsi="Times New Roman" w:eastAsia="Times New Roman"/>
          <w:b/>
          <w:color w:val="000000"/>
          <w:sz w:val="25"/>
        </w:rPr>
        <w:t>2.2 Factores climáticos fenológicos y varietales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Reunirá la evidencia sobre las variables que pueden explicar la producción. Inamoto et al. y Romero-Cuervo et al. respaldarán el papel del clima, el tiempo térmico, la fenología y las diferencias entre variedades, sin trasladar todavía estas variables a la base de La Gaitana.</w:t>
      </w:r>
    </w:p>
    <w:p>
      <w:pPr>
        <w:pStyle w:val="Ttulo2"/>
        <w:keepNext/>
        <w:widowControl/>
      </w:pPr>
      <w:r>
        <w:rPr>
          <w:rFonts w:ascii="Times New Roman" w:hAnsi="Times New Roman" w:eastAsia="Times New Roman"/>
          <w:b/>
          <w:color w:val="000000"/>
          <w:sz w:val="25"/>
        </w:rPr>
        <w:t>2.3 Métodos de análisis y validación reportados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Comparará los enfoques utilizados en la literatura, como rezagos, variables exógenas, modelos multihorizonte, modelos estadísticos y de aprendizaje automático, PCA, MCA y validación temporal. Se explicará su utilidad general, sin describir aún cómo se implementarán en este proyecto.</w:t>
      </w:r>
    </w:p>
    <w:p>
      <w:pPr>
        <w:pStyle w:val="Ttulo2"/>
        <w:keepNext/>
        <w:widowControl/>
      </w:pPr>
      <w:r>
        <w:rPr>
          <w:rFonts w:ascii="Times New Roman" w:hAnsi="Times New Roman" w:eastAsia="Times New Roman"/>
          <w:b/>
          <w:color w:val="000000"/>
          <w:sz w:val="25"/>
        </w:rPr>
        <w:t>2.4 Vacío de conocimiento y aporte del proyecto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Precisará que los antecedentes no resuelven conjuntamente el pronóstico semanal de tallos exportables por producto, color y variedad, con varios horizontes, clima, curvas productivas, estimado experto y validación empresarial. Este vacío justificará el diseño del capítulo 4.</w:t>
      </w:r>
    </w:p>
    <w:p>
      <w:pPr>
        <w:pStyle w:val="Ttulo1"/>
        <w:keepNext/>
        <w:widowControl/>
      </w:pPr>
      <w:r>
        <w:rPr>
          <w:rFonts w:ascii="Times New Roman" w:hAnsi="Times New Roman" w:eastAsia="Times New Roman"/>
          <w:b/>
          <w:color w:val="000000"/>
          <w:sz w:val="28"/>
        </w:rPr>
        <w:t>3 Datos y análisis exploratorio inicial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únicamente la evidencia propia del caso: las fuentes de La Gaitana, la construcción de la base analítica y los hallazgos descriptivos iniciales. No repetirá la revisión de artículos ni desarrollará PCA, MCA o modelos de pronóstico, que se presentarán en los capítulos 2 y 4 respectivamente.</w:t>
      </w:r>
    </w:p>
    <w:p>
      <w:pPr>
        <w:pStyle w:val="Ttulo2"/>
        <w:keepNext/>
        <w:widowControl/>
      </w:pPr>
      <w:r>
        <w:rPr>
          <w:rFonts w:ascii="Times New Roman" w:hAnsi="Times New Roman" w:eastAsia="Times New Roman"/>
          <w:b/>
          <w:color w:val="000000"/>
          <w:sz w:val="25"/>
        </w:rPr>
        <w:t>3.1 Fuentes de información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una tabla por fuente con propietario, cobertura, frecuencia, granularidad, campos clave, unidad, disponibilidad al pronosticar y restricciones de uso.</w:t>
      </w:r>
    </w:p>
    <w:p>
      <w:pPr>
        <w:pStyle w:val="Ttulo3"/>
        <w:keepNext/>
        <w:widowControl/>
      </w:pPr>
      <w:r>
        <w:rPr>
          <w:rFonts w:ascii="Times New Roman" w:hAnsi="Times New Roman" w:eastAsia="Times New Roman"/>
          <w:b/>
          <w:color w:val="000000"/>
          <w:sz w:val="23"/>
        </w:rPr>
        <w:t>3.1.1 Producción real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Describirá los registros operativos de cosecha, su granularidad original y la construcción de tallos exportables por fecha, producto, color y variedad.</w:t>
      </w:r>
    </w:p>
    <w:p>
      <w:pPr>
        <w:pStyle w:val="Ttulo3"/>
        <w:keepNext/>
        <w:widowControl/>
      </w:pPr>
      <w:r>
        <w:rPr>
          <w:rFonts w:ascii="Times New Roman" w:hAnsi="Times New Roman" w:eastAsia="Times New Roman"/>
          <w:b/>
          <w:color w:val="000000"/>
          <w:sz w:val="23"/>
        </w:rPr>
        <w:t>3.1.2 Estimados del ingeniero y curvas productivas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versiones, horizontes, llaves y momento de disponibilidad. El estimado experto será benchmark y, en un experimento aparte, podrá evaluarse como variable de un modelo híbrido.</w:t>
      </w:r>
    </w:p>
    <w:p>
      <w:pPr>
        <w:pStyle w:val="Ttulo3"/>
        <w:keepNext/>
        <w:widowControl/>
      </w:pPr>
      <w:r>
        <w:rPr>
          <w:rFonts w:ascii="Times New Roman" w:hAnsi="Times New Roman" w:eastAsia="Times New Roman"/>
          <w:b/>
          <w:color w:val="000000"/>
          <w:sz w:val="23"/>
        </w:rPr>
        <w:t>3.1.3 Planos de siembra y camas piloto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Explicará cómo las fotografías semanales de las camas, las plantas, la edad y las observaciones piloto aportan al estimado teórico y al criterio experto.</w:t>
      </w:r>
    </w:p>
    <w:p>
      <w:pPr>
        <w:pStyle w:val="Ttulo3"/>
        <w:keepNext/>
        <w:widowControl/>
      </w:pPr>
      <w:r>
        <w:rPr>
          <w:rFonts w:ascii="Times New Roman" w:hAnsi="Times New Roman" w:eastAsia="Times New Roman"/>
          <w:b/>
          <w:color w:val="000000"/>
          <w:sz w:val="23"/>
        </w:rPr>
        <w:t>3.1.4 Información climática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Describirá temperatura, humedad, lluvia, radiación, evapotranspiración y otras variables registradas aproximadamente cada treinta minutos, con sus unidades y cobertura.</w:t>
      </w:r>
    </w:p>
    <w:p>
      <w:pPr>
        <w:pStyle w:val="Ttulo3"/>
        <w:keepNext/>
        <w:widowControl/>
      </w:pPr>
      <w:r>
        <w:rPr>
          <w:rFonts w:ascii="Times New Roman" w:hAnsi="Times New Roman" w:eastAsia="Times New Roman"/>
          <w:b/>
          <w:color w:val="000000"/>
          <w:sz w:val="23"/>
        </w:rPr>
        <w:t>3.1.5 Fuentes operativas adicionales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Registrará las tablas de SQL u otras fuentes que se incorporen, indicando su aporte real y evitando agregar datos que no estén disponibles al emitir el pronóstico.</w:t>
      </w:r>
    </w:p>
    <w:p>
      <w:pPr>
        <w:pStyle w:val="Ttulo2"/>
        <w:keepNext/>
        <w:widowControl/>
      </w:pPr>
      <w:r>
        <w:rPr>
          <w:rFonts w:ascii="Times New Roman" w:hAnsi="Times New Roman" w:eastAsia="Times New Roman"/>
          <w:b/>
          <w:color w:val="000000"/>
          <w:sz w:val="25"/>
        </w:rPr>
        <w:t>3.2 Construcción y calidad de la base analítica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Describirá el flujo reproducible desde los archivos y tablas originales hasta la base que alimentará la metodología, con entradas, reglas, controles y salidas.</w:t>
      </w:r>
    </w:p>
    <w:p>
      <w:pPr>
        <w:pStyle w:val="Ttulo3"/>
        <w:keepNext/>
        <w:widowControl/>
      </w:pPr>
      <w:r>
        <w:rPr>
          <w:rFonts w:ascii="Times New Roman" w:hAnsi="Times New Roman" w:eastAsia="Times New Roman"/>
          <w:b/>
          <w:color w:val="000000"/>
          <w:sz w:val="23"/>
        </w:rPr>
        <w:t>3.2.1 Unidad de análisis y granularidades temporales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Diferenciará la granularidad original de cada fuente de la unidad de predicción. El objetivo principal será semanal; los registros de treinta minutos y diarios se conservarán para construir resúmenes y, si aporta valor, un nivel separado de distribución intra-semanal.</w:t>
      </w:r>
    </w:p>
    <w:p>
      <w:pPr>
        <w:pStyle w:val="Ttulo3"/>
        <w:keepNext/>
        <w:widowControl/>
      </w:pPr>
      <w:r>
        <w:rPr>
          <w:rFonts w:ascii="Times New Roman" w:hAnsi="Times New Roman" w:eastAsia="Times New Roman"/>
          <w:b/>
          <w:color w:val="000000"/>
          <w:sz w:val="23"/>
        </w:rPr>
        <w:t>3.2.2 Homologación de categorías y llaves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normalización de producto, grado, color, variedad, finca y demás categorías, junto con llaves, catálogos, duplicados y versiones.</w:t>
      </w:r>
    </w:p>
    <w:p>
      <w:pPr>
        <w:pStyle w:val="Ttulo3"/>
        <w:keepNext/>
        <w:widowControl/>
      </w:pPr>
      <w:r>
        <w:rPr>
          <w:rFonts w:ascii="Times New Roman" w:hAnsi="Times New Roman" w:eastAsia="Times New Roman"/>
          <w:b/>
          <w:color w:val="000000"/>
          <w:sz w:val="23"/>
        </w:rPr>
        <w:t>3.2.3 Alineación temporal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Explicará la correspondencia entre registros de treinta minutos, días, semanas ISO, semana de emisión, horizonte y semana objetivo.</w:t>
      </w:r>
    </w:p>
    <w:p>
      <w:pPr>
        <w:pStyle w:val="Ttulo3"/>
        <w:keepNext/>
        <w:widowControl/>
      </w:pPr>
      <w:r>
        <w:rPr>
          <w:rFonts w:ascii="Times New Roman" w:hAnsi="Times New Roman" w:eastAsia="Times New Roman"/>
          <w:b/>
          <w:color w:val="000000"/>
          <w:sz w:val="23"/>
        </w:rPr>
        <w:t>3.2.4 Faltantes ceros y valores atípicos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Distinguirá ausencia de registro, producción cero y periodos incompletos. Definirá controles por fuente sin imputar ceros automáticamente.</w:t>
      </w:r>
    </w:p>
    <w:p>
      <w:pPr>
        <w:pStyle w:val="Ttulo3"/>
        <w:keepNext/>
        <w:widowControl/>
      </w:pPr>
      <w:r>
        <w:rPr>
          <w:rFonts w:ascii="Times New Roman" w:hAnsi="Times New Roman" w:eastAsia="Times New Roman"/>
          <w:b/>
          <w:color w:val="000000"/>
          <w:sz w:val="23"/>
        </w:rPr>
        <w:t>3.2.5 Disponibilidad de información y fuga temporal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Precisará qué variables eran conocidas en cada emisión histórica. El clima de la semana objetivo solo será predictor si existía un pronóstico meteorológico disponible en esa fecha.</w:t>
      </w:r>
    </w:p>
    <w:p>
      <w:pPr>
        <w:pStyle w:val="Ttulo2"/>
        <w:keepNext/>
        <w:widowControl/>
      </w:pPr>
      <w:r>
        <w:rPr>
          <w:rFonts w:ascii="Times New Roman" w:hAnsi="Times New Roman" w:eastAsia="Times New Roman"/>
          <w:b/>
          <w:color w:val="000000"/>
          <w:sz w:val="25"/>
        </w:rPr>
        <w:t>3.3 Análisis exploratorio descriptivo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resultados descriptivos que expliquen la escala, composición y dinámica de los datos antes de aplicar las técnicas del capítulo 4.</w:t>
      </w:r>
    </w:p>
    <w:p>
      <w:pPr>
        <w:pStyle w:val="Ttulo3"/>
        <w:keepNext/>
        <w:widowControl/>
      </w:pPr>
      <w:r>
        <w:rPr>
          <w:rFonts w:ascii="Times New Roman" w:hAnsi="Times New Roman" w:eastAsia="Times New Roman"/>
          <w:b/>
          <w:color w:val="000000"/>
          <w:sz w:val="23"/>
        </w:rPr>
        <w:t>3.3.1 Cobertura y evolución de la producción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periodos completos y parciales, volúmenes, registros, combinaciones activas y cambios de nivel.</w:t>
      </w:r>
    </w:p>
    <w:p>
      <w:pPr>
        <w:pStyle w:val="Ttulo3"/>
        <w:keepNext/>
        <w:widowControl/>
      </w:pPr>
      <w:r>
        <w:rPr>
          <w:rFonts w:ascii="Times New Roman" w:hAnsi="Times New Roman" w:eastAsia="Times New Roman"/>
          <w:b/>
          <w:color w:val="000000"/>
          <w:sz w:val="23"/>
        </w:rPr>
        <w:t>3.3.2 Estacionalidad y eventos comerciales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Analizará semanas del año, temporadas pico, cambios recurrentes y eventos excepcionales.</w:t>
      </w:r>
    </w:p>
    <w:p>
      <w:pPr>
        <w:pStyle w:val="Ttulo3"/>
        <w:keepNext/>
        <w:widowControl/>
      </w:pPr>
      <w:r>
        <w:rPr>
          <w:rFonts w:ascii="Times New Roman" w:hAnsi="Times New Roman" w:eastAsia="Times New Roman"/>
          <w:b/>
          <w:color w:val="000000"/>
          <w:sz w:val="23"/>
        </w:rPr>
        <w:t>3.3.3 Composición por producto color grado y variedad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Caracterizará concentración, mezcla, categorías poco frecuentes y series intermitentes.</w:t>
      </w:r>
    </w:p>
    <w:p>
      <w:pPr>
        <w:pStyle w:val="Ttulo3"/>
        <w:keepNext/>
        <w:widowControl/>
      </w:pPr>
      <w:r>
        <w:rPr>
          <w:rFonts w:ascii="Times New Roman" w:hAnsi="Times New Roman" w:eastAsia="Times New Roman"/>
          <w:b/>
          <w:color w:val="000000"/>
          <w:sz w:val="23"/>
        </w:rPr>
        <w:t>3.3.4 Distribución diaria e intra-diaria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Evaluará cómo se reparte la producción dentro de la semana, incluyendo diferencias entre días, franjas horarias y festivos. Este análisis determinará si el segundo nivel temporal aporta información.</w:t>
      </w:r>
    </w:p>
    <w:p>
      <w:pPr>
        <w:pStyle w:val="Ttulo3"/>
        <w:keepNext/>
        <w:widowControl/>
      </w:pPr>
      <w:r>
        <w:rPr>
          <w:rFonts w:ascii="Times New Roman" w:hAnsi="Times New Roman" w:eastAsia="Times New Roman"/>
          <w:b/>
          <w:color w:val="000000"/>
          <w:sz w:val="23"/>
        </w:rPr>
        <w:t>3.3.5 Comportamiento descriptivo del clima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Revisará estacionalidad, valores faltantes, extremos y correlaciones entre variables climáticas, sin ejecutar todavía el PCA.</w:t>
      </w:r>
    </w:p>
    <w:p>
      <w:pPr>
        <w:pStyle w:val="Ttulo3"/>
        <w:keepNext/>
        <w:widowControl/>
      </w:pPr>
      <w:r>
        <w:rPr>
          <w:rFonts w:ascii="Times New Roman" w:hAnsi="Times New Roman" w:eastAsia="Times New Roman"/>
          <w:b/>
          <w:color w:val="000000"/>
          <w:sz w:val="23"/>
        </w:rPr>
        <w:t>3.3.6 Comparación preliminar entre real curvas e ingeniero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la diferencia inicial entre producción real, estimado teórico y estimado experto sobre filas comunes. Los resultados definitivos se recalcularán después de fijar la base final.</w:t>
      </w:r>
    </w:p>
    <w:p>
      <w:pPr>
        <w:pStyle w:val="Ttulo2"/>
        <w:keepNext/>
        <w:widowControl/>
      </w:pPr>
      <w:r>
        <w:rPr>
          <w:rFonts w:ascii="Times New Roman" w:hAnsi="Times New Roman" w:eastAsia="Times New Roman"/>
          <w:b/>
          <w:color w:val="000000"/>
          <w:sz w:val="25"/>
        </w:rPr>
        <w:t>3.4 Decisiones derivadas del análisis exploratorio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Cerrará el capítulo con decisiones sustentadas en los datos: nivel semanal principal, conveniencia del análisis intra-semanal, variables que pasan al PCA o MCA, segmentos prioritarios y restricciones de modelado. Estas decisiones empíricas se diferenciarán del vacío bibliográfico presentado en el capítulo 2.</w:t>
      </w:r>
    </w:p>
    <w:p>
      <w:pPr>
        <w:pStyle w:val="Ttulo1"/>
        <w:keepNext/>
        <w:widowControl/>
      </w:pPr>
      <w:r>
        <w:rPr>
          <w:rFonts w:ascii="Times New Roman" w:hAnsi="Times New Roman" w:eastAsia="Times New Roman"/>
          <w:b/>
          <w:color w:val="000000"/>
          <w:sz w:val="28"/>
        </w:rPr>
        <w:t>4 Metodología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Será el núcleo del documento. Su introducción mostrará el diseño metodológico general, la variable objetivo, la unidad semanal, el flujo de las cinco fases y los criterios de reproducibilidad y confidencialidad. Después desarrollará las fases con la misma numeración, títulos y subtítulos que se usarán en el capítulo 5.</w:t>
      </w:r>
    </w:p>
    <w:p>
      <w:pPr>
        <w:pStyle w:val="Ttulo2"/>
        <w:keepNext/>
        <w:widowControl/>
      </w:pPr>
      <w:r>
        <w:rPr>
          <w:rFonts w:ascii="Times New Roman" w:hAnsi="Times New Roman" w:eastAsia="Times New Roman"/>
          <w:b/>
          <w:color w:val="000000"/>
          <w:sz w:val="25"/>
        </w:rPr>
        <w:t>4.1 Caracterización multivariada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Complementará el EDA mediante técnicas distintas según el tipo de variables: PCA para clima cuantitativo y MCA para la estructura categórica de la producción.</w:t>
      </w:r>
    </w:p>
    <w:p>
      <w:pPr>
        <w:pStyle w:val="Ttulo3"/>
        <w:keepNext/>
        <w:widowControl/>
      </w:pPr>
      <w:r>
        <w:rPr>
          <w:rFonts w:ascii="Times New Roman" w:hAnsi="Times New Roman" w:eastAsia="Times New Roman"/>
          <w:b/>
          <w:color w:val="000000"/>
          <w:sz w:val="23"/>
        </w:rPr>
        <w:t>4.1.1 PCA de variables climáticas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Estandarizará las variables numéricas, seleccionará componentes mediante varianza explicada y sedimentación, interpretará cargas y calculará puntajes por periodo. El ajuste se realizará solo con datos de entrenamiento cuando los componentes entren al pronóstico.</w:t>
      </w:r>
    </w:p>
    <w:p>
      <w:pPr>
        <w:pStyle w:val="Ttulo3"/>
        <w:keepNext/>
        <w:widowControl/>
      </w:pPr>
      <w:r>
        <w:rPr>
          <w:rFonts w:ascii="Times New Roman" w:hAnsi="Times New Roman" w:eastAsia="Times New Roman"/>
          <w:b/>
          <w:color w:val="000000"/>
          <w:sz w:val="23"/>
        </w:rPr>
        <w:t>4.1.2 Relación entre PCA y PDN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primero el significado, unidad, frecuencia y granularidad de PDN. Después evaluará asociaciones contemporáneas y rezagadas con los puntajes, diferencias por variedad o temporada y relación con el error de las curvas. No presentará asociaciones como causalidad.</w:t>
      </w:r>
    </w:p>
    <w:p>
      <w:pPr>
        <w:pStyle w:val="Ttulo3"/>
        <w:keepNext/>
        <w:widowControl/>
      </w:pPr>
      <w:r>
        <w:rPr>
          <w:rFonts w:ascii="Times New Roman" w:hAnsi="Times New Roman" w:eastAsia="Times New Roman"/>
          <w:b/>
          <w:color w:val="000000"/>
          <w:sz w:val="23"/>
        </w:rPr>
        <w:t>4.1.3 MCA de la estructura productiva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Explorará asociaciones entre producto, grado, color, variedad y niveles de producción. Los tallos se convertirán en categorías ordenadas mediante intervalos justificables, como cuantiles, para que puedan participar en el MCA.</w:t>
      </w:r>
    </w:p>
    <w:p>
      <w:pPr>
        <w:pStyle w:val="Ttulo3"/>
        <w:keepNext/>
        <w:widowControl/>
      </w:pPr>
      <w:r>
        <w:rPr>
          <w:rFonts w:ascii="Times New Roman" w:hAnsi="Times New Roman" w:eastAsia="Times New Roman"/>
          <w:b/>
          <w:color w:val="000000"/>
          <w:sz w:val="23"/>
        </w:rPr>
        <w:t>4.1.4 Depuración y variables suplementarias del MCA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Excluirá identificadores sin significado analítico, como lote o código de caja, archivo y hoja de origen. Verificará la redundancia de finca y sector, limpiará espacios y categorías duplicadas, y evaluará semana y año como variables suplementarias. Las agrupaciones de colores se probarán después de observar el detalle original.</w:t>
      </w:r>
    </w:p>
    <w:p>
      <w:pPr>
        <w:pStyle w:val="Ttulo3"/>
        <w:keepNext/>
        <w:widowControl/>
      </w:pPr>
      <w:r>
        <w:rPr>
          <w:rFonts w:ascii="Times New Roman" w:hAnsi="Times New Roman" w:eastAsia="Times New Roman"/>
          <w:b/>
          <w:color w:val="000000"/>
          <w:sz w:val="23"/>
        </w:rPr>
        <w:t>4.1.5 Validación agronómica de los patrones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Contrastará componentes, agrupaciones y semanas extremas con el conocimiento de Elián y del equipo técnico para separar patrones plausibles, decisiones de manejo y problemas de calidad.</w:t>
      </w:r>
    </w:p>
    <w:p>
      <w:pPr>
        <w:pStyle w:val="Ttulo2"/>
        <w:keepNext/>
        <w:widowControl/>
      </w:pPr>
      <w:r>
        <w:rPr>
          <w:rFonts w:ascii="Times New Roman" w:hAnsi="Times New Roman" w:eastAsia="Times New Roman"/>
          <w:b/>
          <w:color w:val="000000"/>
          <w:sz w:val="25"/>
        </w:rPr>
        <w:t>4.2 Representación temporal y construcción de variables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Partirá de la mayor granularidad común viable y construirá una representación semanal sin perder señales relevantes de corto plazo.</w:t>
      </w:r>
    </w:p>
    <w:p>
      <w:pPr>
        <w:pStyle w:val="Ttulo3"/>
        <w:keepNext/>
        <w:widowControl/>
      </w:pPr>
      <w:r>
        <w:rPr>
          <w:rFonts w:ascii="Times New Roman" w:hAnsi="Times New Roman" w:eastAsia="Times New Roman"/>
          <w:b/>
          <w:color w:val="000000"/>
          <w:sz w:val="23"/>
        </w:rPr>
        <w:t>4.2.1 Base de alta granularidad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Integrará inicialmente producción y clima en intervalos cercanos a treinta minutos cuando las fuentes lo permitan. Esta base se construirá una vez para habilitar distintas agregaciones, no para obligar a que el modelo final opere a esa frecuencia.</w:t>
      </w:r>
    </w:p>
    <w:p>
      <w:pPr>
        <w:pStyle w:val="Ttulo3"/>
        <w:keepNext/>
        <w:widowControl/>
      </w:pPr>
      <w:r>
        <w:rPr>
          <w:rFonts w:ascii="Times New Roman" w:hAnsi="Times New Roman" w:eastAsia="Times New Roman"/>
          <w:b/>
          <w:color w:val="000000"/>
          <w:sz w:val="23"/>
        </w:rPr>
        <w:t>4.2.2 Agregación semanal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Convertirá la información fina en variables semanales mediante totales, promedios, mínimos, máximos, variabilidad, duración de extremos, proporciones por día y franjas. Cada agregado tendrá una interpretación y una regla reproducible.</w:t>
      </w:r>
    </w:p>
    <w:p>
      <w:pPr>
        <w:pStyle w:val="Ttulo3"/>
        <w:keepNext/>
        <w:widowControl/>
      </w:pPr>
      <w:r>
        <w:rPr>
          <w:rFonts w:ascii="Times New Roman" w:hAnsi="Times New Roman" w:eastAsia="Times New Roman"/>
          <w:b/>
          <w:color w:val="000000"/>
          <w:sz w:val="23"/>
        </w:rPr>
        <w:t>4.2.3 Rezagos y ventanas móviles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Construirá rezagos, medias móviles y acumulados que representen historia productiva y climática conocida antes de la emisión.</w:t>
      </w:r>
    </w:p>
    <w:p>
      <w:pPr>
        <w:pStyle w:val="Ttulo3"/>
        <w:keepNext/>
        <w:widowControl/>
      </w:pPr>
      <w:r>
        <w:rPr>
          <w:rFonts w:ascii="Times New Roman" w:hAnsi="Times New Roman" w:eastAsia="Times New Roman"/>
          <w:b/>
          <w:color w:val="000000"/>
          <w:sz w:val="23"/>
        </w:rPr>
        <w:t>4.2.4 Variables de curva y operación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Integrará plantas, edad, flores por planta, producción teórica, cobertura de curva, camas y demás información operativa disponible a tiempo.</w:t>
      </w:r>
    </w:p>
    <w:p>
      <w:pPr>
        <w:pStyle w:val="Ttulo3"/>
        <w:keepNext/>
        <w:widowControl/>
      </w:pPr>
      <w:r>
        <w:rPr>
          <w:rFonts w:ascii="Times New Roman" w:hAnsi="Times New Roman" w:eastAsia="Times New Roman"/>
          <w:b/>
          <w:color w:val="000000"/>
          <w:sz w:val="23"/>
        </w:rPr>
        <w:t>4.2.5 Variables categóricas y temporales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codificación de producto, color, grado, variedad, semana, año, temporada comercial y festivos, con reglas para categorías nuevas o poco frecuentes.</w:t>
      </w:r>
    </w:p>
    <w:p>
      <w:pPr>
        <w:pStyle w:val="Ttulo3"/>
        <w:keepNext/>
        <w:widowControl/>
      </w:pPr>
      <w:r>
        <w:rPr>
          <w:rFonts w:ascii="Times New Roman" w:hAnsi="Times New Roman" w:eastAsia="Times New Roman"/>
          <w:b/>
          <w:color w:val="000000"/>
          <w:sz w:val="23"/>
        </w:rPr>
        <w:t>4.2.6 Conjuntos de variables para comparación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Preparará escenarios sin clima, con clima original, con rezagos climáticos y con componentes principales. Esta ablación permitirá determinar si el PCA agrega valor predictivo.</w:t>
      </w:r>
    </w:p>
    <w:p>
      <w:pPr>
        <w:pStyle w:val="Ttulo2"/>
        <w:keepNext/>
        <w:widowControl/>
      </w:pPr>
      <w:r>
        <w:rPr>
          <w:rFonts w:ascii="Times New Roman" w:hAnsi="Times New Roman" w:eastAsia="Times New Roman"/>
          <w:b/>
          <w:color w:val="000000"/>
          <w:sz w:val="25"/>
        </w:rPr>
        <w:t>4.3 Pronóstico semanal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Desarrollará el producto analítico principal: pronosticar tallos exportables por combinación y horizonte semanal.</w:t>
      </w:r>
    </w:p>
    <w:p>
      <w:pPr>
        <w:pStyle w:val="Ttulo3"/>
        <w:keepNext/>
        <w:widowControl/>
      </w:pPr>
      <w:r>
        <w:rPr>
          <w:rFonts w:ascii="Times New Roman" w:hAnsi="Times New Roman" w:eastAsia="Times New Roman"/>
          <w:b/>
          <w:color w:val="000000"/>
          <w:sz w:val="23"/>
        </w:rPr>
        <w:t>4.3.1 Variable objetivo y horizontes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tallos reales o exportables por producto, color y variedad, así como la convención exacta H1 a H5. Debe confirmarse si H1 corresponde a la semana de emisión o a la siguiente para que la validación reproduzca la operación.</w:t>
      </w:r>
    </w:p>
    <w:p>
      <w:pPr>
        <w:pStyle w:val="Ttulo3"/>
        <w:keepNext/>
        <w:widowControl/>
      </w:pPr>
      <w:r>
        <w:rPr>
          <w:rFonts w:ascii="Times New Roman" w:hAnsi="Times New Roman" w:eastAsia="Times New Roman"/>
          <w:b/>
          <w:color w:val="000000"/>
          <w:sz w:val="23"/>
        </w:rPr>
        <w:t>4.3.2 Líneas base</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Comparará persistencia histórica, curvas productivas y estimado del ingeniero sobre las mismas observaciones. También podrá evaluar una formulación de corrección del residuo real menos teórico.</w:t>
      </w:r>
    </w:p>
    <w:p>
      <w:pPr>
        <w:pStyle w:val="Ttulo3"/>
        <w:keepNext/>
        <w:widowControl/>
      </w:pPr>
      <w:r>
        <w:rPr>
          <w:rFonts w:ascii="Times New Roman" w:hAnsi="Times New Roman" w:eastAsia="Times New Roman"/>
          <w:b/>
          <w:color w:val="000000"/>
          <w:sz w:val="23"/>
        </w:rPr>
        <w:t>4.3.3 Modelos candidatos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Evaluará un modelo lineal interpretable, SARIMAX cuando la estructura y las variables exógenas lo permitan, y métodos de árboles o boosting para relaciones no lineales. Solo se incluirán modelos efectivamente entrenados y justificados por los datos.</w:t>
      </w:r>
    </w:p>
    <w:p>
      <w:pPr>
        <w:pStyle w:val="Ttulo3"/>
        <w:keepNext/>
        <w:widowControl/>
      </w:pPr>
      <w:r>
        <w:rPr>
          <w:rFonts w:ascii="Times New Roman" w:hAnsi="Times New Roman" w:eastAsia="Times New Roman"/>
          <w:b/>
          <w:color w:val="000000"/>
          <w:sz w:val="23"/>
        </w:rPr>
        <w:t>4.3.4 Estrategia multihorizonte y agrupada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Comparará modelos por horizonte con un modelo global que use el horizonte como predictor y verificará coherencia entre variedad, color, producto y total de finca.</w:t>
      </w:r>
    </w:p>
    <w:p>
      <w:pPr>
        <w:pStyle w:val="Ttulo3"/>
        <w:keepNext/>
        <w:widowControl/>
      </w:pPr>
      <w:r>
        <w:rPr>
          <w:rFonts w:ascii="Times New Roman" w:hAnsi="Times New Roman" w:eastAsia="Times New Roman"/>
          <w:b/>
          <w:color w:val="000000"/>
          <w:sz w:val="23"/>
        </w:rPr>
        <w:t>4.3.5 Validación temporal y ajuste</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Usará cortes cronológicos expansivos o deslizantes, ajuste de hiperparámetros dentro de cada entrenamiento y un periodo final intacto para prueba.</w:t>
      </w:r>
    </w:p>
    <w:p>
      <w:pPr>
        <w:pStyle w:val="Ttulo3"/>
        <w:keepNext/>
        <w:widowControl/>
      </w:pPr>
      <w:r>
        <w:rPr>
          <w:rFonts w:ascii="Times New Roman" w:hAnsi="Times New Roman" w:eastAsia="Times New Roman"/>
          <w:b/>
          <w:color w:val="000000"/>
          <w:sz w:val="23"/>
        </w:rPr>
        <w:t>4.3.6 Métricas y criterios de aceptación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WAPE como métrica principal ponderada por volumen y la complementará con MAE, RMSE, sesgo, MASE y banda operativa. Justificará aquí su uso y sus umbrales.</w:t>
      </w:r>
    </w:p>
    <w:p>
      <w:pPr>
        <w:pStyle w:val="Ttulo3"/>
        <w:keepNext/>
        <w:widowControl/>
      </w:pPr>
      <w:r>
        <w:rPr>
          <w:rFonts w:ascii="Times New Roman" w:hAnsi="Times New Roman" w:eastAsia="Times New Roman"/>
          <w:b/>
          <w:color w:val="000000"/>
          <w:sz w:val="23"/>
        </w:rPr>
        <w:t>4.3.7 Interpretabilidad robustez y selección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Comparará estabilidad por corte, horizonte y segmento; analizará errores e importancia de variables; y seleccionará la solución según precisión, estabilidad, interpretación y factibilidad operativa.</w:t>
      </w:r>
    </w:p>
    <w:p>
      <w:pPr>
        <w:pStyle w:val="Ttulo2"/>
        <w:keepNext/>
        <w:widowControl/>
      </w:pPr>
      <w:r>
        <w:rPr>
          <w:rFonts w:ascii="Times New Roman" w:hAnsi="Times New Roman" w:eastAsia="Times New Roman"/>
          <w:b/>
          <w:color w:val="000000"/>
          <w:sz w:val="25"/>
        </w:rPr>
        <w:t>4.4 Distribución intrasemanal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Evaluará, como segundo nivel y condicionado a la calidad de los datos, un modelo que distribuya el total semanal entre días o franjas sin sustituir el pronóstico semanal principal.</w:t>
      </w:r>
    </w:p>
    <w:p>
      <w:pPr>
        <w:pStyle w:val="Ttulo3"/>
        <w:keepNext/>
        <w:widowControl/>
      </w:pPr>
      <w:r>
        <w:rPr>
          <w:rFonts w:ascii="Times New Roman" w:hAnsi="Times New Roman" w:eastAsia="Times New Roman"/>
          <w:b/>
          <w:color w:val="000000"/>
          <w:sz w:val="23"/>
        </w:rPr>
        <w:t>4.4.1 Formulación del segundo nivel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Usará como objetivo proporciones o volúmenes diarios condicionados al total semanal previsto. La suma de las salidas diarias deberá coincidir con el pronóstico semanal.</w:t>
      </w:r>
    </w:p>
    <w:p>
      <w:pPr>
        <w:pStyle w:val="Ttulo3"/>
        <w:keepNext/>
        <w:widowControl/>
      </w:pPr>
      <w:r>
        <w:rPr>
          <w:rFonts w:ascii="Times New Roman" w:hAnsi="Times New Roman" w:eastAsia="Times New Roman"/>
          <w:b/>
          <w:color w:val="000000"/>
          <w:sz w:val="23"/>
        </w:rPr>
        <w:t>4.4.2 Variables y modelos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Incluirá día de la semana, festivos, patrones recientes, clima disponible y variables operativas. Podrá evaluar SARIMAX u otros modelos adecuados para la repetición intra-semanal.</w:t>
      </w:r>
    </w:p>
    <w:p>
      <w:pPr>
        <w:pStyle w:val="Ttulo3"/>
        <w:keepNext/>
        <w:widowControl/>
      </w:pPr>
      <w:r>
        <w:rPr>
          <w:rFonts w:ascii="Times New Roman" w:hAnsi="Times New Roman" w:eastAsia="Times New Roman"/>
          <w:b/>
          <w:color w:val="000000"/>
          <w:sz w:val="23"/>
        </w:rPr>
        <w:t>4.4.3 Validación y criterio de continuidad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Medirá desempeño diario y coherencia semanal. Si la mejora no compensa la complejidad, este nivel se reportará como análisis exploratorio o trabajo futuro.</w:t>
      </w:r>
    </w:p>
    <w:p>
      <w:pPr>
        <w:pStyle w:val="Ttulo2"/>
        <w:keepNext/>
        <w:widowControl/>
      </w:pPr>
      <w:r>
        <w:rPr>
          <w:rFonts w:ascii="Times New Roman" w:hAnsi="Times New Roman" w:eastAsia="Times New Roman"/>
          <w:b/>
          <w:color w:val="000000"/>
          <w:sz w:val="25"/>
        </w:rPr>
        <w:t>4.5 Comunicación y validación empresarial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Convertirá las predicciones en un producto utilizable y verificará su aporte con las personas que toman decisiones.</w:t>
      </w:r>
    </w:p>
    <w:p>
      <w:pPr>
        <w:pStyle w:val="Ttulo3"/>
        <w:keepNext/>
        <w:widowControl/>
      </w:pPr>
      <w:r>
        <w:rPr>
          <w:rFonts w:ascii="Times New Roman" w:hAnsi="Times New Roman" w:eastAsia="Times New Roman"/>
          <w:b/>
          <w:color w:val="000000"/>
          <w:sz w:val="23"/>
        </w:rPr>
        <w:t>4.5.1 Tablero o reporte operativo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filtros, alertas, horizontes, valores esperados, comparación con el estimado experto y trazabilidad. El tablero se documentará como parte de la solución, no como un anexo aislado.</w:t>
      </w:r>
    </w:p>
    <w:p>
      <w:pPr>
        <w:pStyle w:val="Ttulo3"/>
        <w:keepNext/>
        <w:widowControl/>
      </w:pPr>
      <w:r>
        <w:rPr>
          <w:rFonts w:ascii="Times New Roman" w:hAnsi="Times New Roman" w:eastAsia="Times New Roman"/>
          <w:b/>
          <w:color w:val="000000"/>
          <w:sz w:val="23"/>
        </w:rPr>
        <w:t>4.5.2 Protocolo de validación con la empresa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Establecerá usuarios, periodo, productos, reuniones de revisión y preguntas para comprobar utilidad, claridad y confianza. Incluirá evidencia de cómo la salida apoya decisiones reales.</w:t>
      </w:r>
    </w:p>
    <w:p>
      <w:pPr>
        <w:pStyle w:val="Ttulo3"/>
        <w:keepNext/>
        <w:widowControl/>
      </w:pPr>
      <w:r>
        <w:rPr>
          <w:rFonts w:ascii="Times New Roman" w:hAnsi="Times New Roman" w:eastAsia="Times New Roman"/>
          <w:b/>
          <w:color w:val="000000"/>
          <w:sz w:val="23"/>
        </w:rPr>
        <w:t>4.5.3 Indicadores de generación de valor</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Separará métricas predictivas de indicadores operativos: faltantes, sobrantes, compras a terceros, sustituciones, cumplimiento, reprocesos y adopción.</w:t>
      </w:r>
    </w:p>
    <w:p>
      <w:pPr>
        <w:pStyle w:val="Ttulo3"/>
        <w:keepNext/>
        <w:widowControl/>
      </w:pPr>
      <w:r>
        <w:rPr>
          <w:rFonts w:ascii="Times New Roman" w:hAnsi="Times New Roman" w:eastAsia="Times New Roman"/>
          <w:b/>
          <w:color w:val="000000"/>
          <w:sz w:val="23"/>
        </w:rPr>
        <w:t>4.5.4 Monitoreo y actualización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Definirá seguimiento del error, sesgo, cobertura, deriva, fallas de datos, frecuencia de actualización y regla de intervención del experto.</w:t>
      </w:r>
    </w:p>
    <w:p>
      <w:pPr>
        <w:pStyle w:val="Ttulo1"/>
        <w:keepNext/>
        <w:widowControl/>
      </w:pPr>
      <w:r>
        <w:rPr>
          <w:rFonts w:ascii="Times New Roman" w:hAnsi="Times New Roman" w:eastAsia="Times New Roman"/>
          <w:b/>
          <w:color w:val="000000"/>
          <w:sz w:val="28"/>
        </w:rPr>
        <w:t>5 Resultados y discusión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los resultados con una estructura espejo del capítulo 4. Cada título y subtítulo tendrá el mismo nombre y el mismo orden; cambiará únicamente el contenido, que mostrará la evidencia obtenida, su interpretación, sus limitaciones y el contraste con el conocimiento agronómico. No habrá un capítulo independiente de discusión.</w:t>
      </w:r>
    </w:p>
    <w:p>
      <w:pPr>
        <w:pStyle w:val="Ttulo2"/>
        <w:keepNext/>
        <w:widowControl/>
      </w:pPr>
      <w:r>
        <w:rPr>
          <w:rFonts w:ascii="Times New Roman" w:hAnsi="Times New Roman" w:eastAsia="Times New Roman"/>
          <w:b/>
          <w:color w:val="000000"/>
          <w:sz w:val="25"/>
        </w:rPr>
        <w:t>5.1 Caracterización multivariada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PCA, relación con PDN, MCA y validación experta. Distinguirá asociaciones exploratorias de evidencia predictiva y explicará qué hallazgos pasan a la construcción de variables.</w:t>
      </w:r>
    </w:p>
    <w:p>
      <w:pPr>
        <w:pStyle w:val="Ttulo3"/>
        <w:keepNext/>
        <w:widowControl/>
      </w:pPr>
      <w:r>
        <w:rPr>
          <w:rFonts w:ascii="Times New Roman" w:hAnsi="Times New Roman" w:eastAsia="Times New Roman"/>
          <w:b/>
          <w:color w:val="000000"/>
          <w:sz w:val="23"/>
        </w:rPr>
        <w:t>5.1.1 PCA de variables climáticas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varianza explicada, cargas, puntajes, estabilidad y periodos extremos. Aclarará que resumir varianza climática no demuestra por sí mismo valor predictivo.</w:t>
      </w:r>
    </w:p>
    <w:p>
      <w:pPr>
        <w:pStyle w:val="Ttulo3"/>
        <w:keepNext/>
        <w:widowControl/>
      </w:pPr>
      <w:r>
        <w:rPr>
          <w:rFonts w:ascii="Times New Roman" w:hAnsi="Times New Roman" w:eastAsia="Times New Roman"/>
          <w:b/>
          <w:color w:val="000000"/>
          <w:sz w:val="23"/>
        </w:rPr>
        <w:t>5.1.2 Relación entre PCA y PDN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asociaciones contemporáneas y rezagadas entre los componentes y PDN, con sus diferencias por variedad o temporada. Interpretará la magnitud, el signo y la estabilidad sin formular conclusiones causales.</w:t>
      </w:r>
    </w:p>
    <w:p>
      <w:pPr>
        <w:pStyle w:val="Ttulo3"/>
        <w:keepNext/>
        <w:widowControl/>
      </w:pPr>
      <w:r>
        <w:rPr>
          <w:rFonts w:ascii="Times New Roman" w:hAnsi="Times New Roman" w:eastAsia="Times New Roman"/>
          <w:b/>
          <w:color w:val="000000"/>
          <w:sz w:val="23"/>
        </w:rPr>
        <w:t>5.1.3 MCA de la estructura productiva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dimensiones, contribuciones, categorías asociadas y perfiles de producción identificados en el espacio factorial.</w:t>
      </w:r>
    </w:p>
    <w:p>
      <w:pPr>
        <w:pStyle w:val="Ttulo3"/>
        <w:keepNext/>
        <w:widowControl/>
      </w:pPr>
      <w:r>
        <w:rPr>
          <w:rFonts w:ascii="Times New Roman" w:hAnsi="Times New Roman" w:eastAsia="Times New Roman"/>
          <w:b/>
          <w:color w:val="000000"/>
          <w:sz w:val="23"/>
        </w:rPr>
        <w:t>5.1.4 Depuración y variables suplementarias del MCA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el efecto de excluir identificadores, resolver categorías duplicadas, revisar finca y sector, usar semana y año como suplementarias y evaluar posibles agrupaciones de color.</w:t>
      </w:r>
    </w:p>
    <w:p>
      <w:pPr>
        <w:pStyle w:val="Ttulo3"/>
        <w:keepNext/>
        <w:widowControl/>
      </w:pPr>
      <w:r>
        <w:rPr>
          <w:rFonts w:ascii="Times New Roman" w:hAnsi="Times New Roman" w:eastAsia="Times New Roman"/>
          <w:b/>
          <w:color w:val="000000"/>
          <w:sz w:val="23"/>
        </w:rPr>
        <w:t>5.1.5 Validación agronómica de los patrones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Consolidará la revisión de Elián y del equipo técnico e indicará qué patrones fueron plausibles, cuáles respondían a decisiones operativas y cuáles podían provenir de problemas de calidad.</w:t>
      </w:r>
    </w:p>
    <w:p>
      <w:pPr>
        <w:pStyle w:val="Ttulo2"/>
        <w:keepNext/>
        <w:widowControl/>
      </w:pPr>
      <w:r>
        <w:rPr>
          <w:rFonts w:ascii="Times New Roman" w:hAnsi="Times New Roman" w:eastAsia="Times New Roman"/>
          <w:b/>
          <w:color w:val="000000"/>
          <w:sz w:val="25"/>
        </w:rPr>
        <w:t>5.2 Representación temporal y construcción de variables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Describirá la base final de modelado, cobertura, granularidad, número de periodos y combinaciones, variables construidas y controles de fuga. Comparará alternativas de agregación cuando sea necesario.</w:t>
      </w:r>
    </w:p>
    <w:p>
      <w:pPr>
        <w:pStyle w:val="Ttulo3"/>
        <w:keepNext/>
        <w:widowControl/>
      </w:pPr>
      <w:r>
        <w:rPr>
          <w:rFonts w:ascii="Times New Roman" w:hAnsi="Times New Roman" w:eastAsia="Times New Roman"/>
          <w:b/>
          <w:color w:val="000000"/>
          <w:sz w:val="23"/>
        </w:rPr>
        <w:t>5.2.1 Base de alta granularidad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cobertura, coincidencia temporal, pérdidas de registros y limitaciones de la integración en la granularidad más fina viable.</w:t>
      </w:r>
    </w:p>
    <w:p>
      <w:pPr>
        <w:pStyle w:val="Ttulo3"/>
        <w:keepNext/>
        <w:widowControl/>
      </w:pPr>
      <w:r>
        <w:rPr>
          <w:rFonts w:ascii="Times New Roman" w:hAnsi="Times New Roman" w:eastAsia="Times New Roman"/>
          <w:b/>
          <w:color w:val="000000"/>
          <w:sz w:val="23"/>
        </w:rPr>
        <w:t>5.2.2 Agregación semanal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los agregados finalmente construidos y las comprobaciones de que conservan las señales relevantes para la unidad semanal.</w:t>
      </w:r>
    </w:p>
    <w:p>
      <w:pPr>
        <w:pStyle w:val="Ttulo3"/>
        <w:keepNext/>
        <w:widowControl/>
      </w:pPr>
      <w:r>
        <w:rPr>
          <w:rFonts w:ascii="Times New Roman" w:hAnsi="Times New Roman" w:eastAsia="Times New Roman"/>
          <w:b/>
          <w:color w:val="000000"/>
          <w:sz w:val="23"/>
        </w:rPr>
        <w:t>5.2.3 Rezagos y ventanas móviles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los rezagos, ventanas y acumulados disponibles sin fuga temporal, así como su cobertura y comportamiento.</w:t>
      </w:r>
    </w:p>
    <w:p>
      <w:pPr>
        <w:pStyle w:val="Ttulo3"/>
        <w:keepNext/>
        <w:widowControl/>
      </w:pPr>
      <w:r>
        <w:rPr>
          <w:rFonts w:ascii="Times New Roman" w:hAnsi="Times New Roman" w:eastAsia="Times New Roman"/>
          <w:b/>
          <w:color w:val="000000"/>
          <w:sz w:val="23"/>
        </w:rPr>
        <w:t>5.2.4 Variables de curva y operación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Indicará qué variables de plantas, edad, flores por planta, producción teórica, camas y operación pudieron integrarse y con qué nivel de completitud.</w:t>
      </w:r>
    </w:p>
    <w:p>
      <w:pPr>
        <w:pStyle w:val="Ttulo3"/>
        <w:keepNext/>
        <w:widowControl/>
      </w:pPr>
      <w:r>
        <w:rPr>
          <w:rFonts w:ascii="Times New Roman" w:hAnsi="Times New Roman" w:eastAsia="Times New Roman"/>
          <w:b/>
          <w:color w:val="000000"/>
          <w:sz w:val="23"/>
        </w:rPr>
        <w:t>5.2.5 Variables categóricas y temporales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la codificación final, las categorías poco frecuentes y las reglas aplicadas a periodos o niveles no observados durante el entrenamiento.</w:t>
      </w:r>
    </w:p>
    <w:p>
      <w:pPr>
        <w:pStyle w:val="Ttulo3"/>
        <w:keepNext/>
        <w:widowControl/>
      </w:pPr>
      <w:r>
        <w:rPr>
          <w:rFonts w:ascii="Times New Roman" w:hAnsi="Times New Roman" w:eastAsia="Times New Roman"/>
          <w:b/>
          <w:color w:val="000000"/>
          <w:sz w:val="23"/>
        </w:rPr>
        <w:t>5.2.6 Conjuntos de variables para comparación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Describirá los escenarios finales de ablación y confirmará que fueron evaluados sobre las mismas particiones temporales.</w:t>
      </w:r>
    </w:p>
    <w:p>
      <w:pPr>
        <w:pStyle w:val="Ttulo2"/>
        <w:keepNext/>
        <w:widowControl/>
      </w:pPr>
      <w:r>
        <w:rPr>
          <w:rFonts w:ascii="Times New Roman" w:hAnsi="Times New Roman" w:eastAsia="Times New Roman"/>
          <w:b/>
          <w:color w:val="000000"/>
          <w:sz w:val="25"/>
        </w:rPr>
        <w:t>5.3 Pronóstico semanal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Concentrará la evaluación principal del trabajo y comparará los modelos con las líneas base, las curvas y el estimado experto sobre muestras comunes.</w:t>
      </w:r>
    </w:p>
    <w:p>
      <w:pPr>
        <w:pStyle w:val="Ttulo3"/>
        <w:keepNext/>
        <w:widowControl/>
      </w:pPr>
      <w:r>
        <w:rPr>
          <w:rFonts w:ascii="Times New Roman" w:hAnsi="Times New Roman" w:eastAsia="Times New Roman"/>
          <w:b/>
          <w:color w:val="000000"/>
          <w:sz w:val="23"/>
        </w:rPr>
        <w:t>5.3.1 Variable objetivo y horizontes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la cobertura efectiva de la variable objetivo y el número de observaciones evaluables para cada horizonte H1 a H5.</w:t>
      </w:r>
    </w:p>
    <w:p>
      <w:pPr>
        <w:pStyle w:val="Ttulo3"/>
        <w:keepNext/>
        <w:widowControl/>
      </w:pPr>
      <w:r>
        <w:rPr>
          <w:rFonts w:ascii="Times New Roman" w:hAnsi="Times New Roman" w:eastAsia="Times New Roman"/>
          <w:b/>
          <w:color w:val="000000"/>
          <w:sz w:val="23"/>
        </w:rPr>
        <w:t>5.3.2 Líneas base</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métricas por horizonte y segmento para persistencia, curvas productivas y estimado del ingeniero, con el fin de establecer las referencias que debe superar el modelo.</w:t>
      </w:r>
    </w:p>
    <w:p>
      <w:pPr>
        <w:pStyle w:val="Ttulo3"/>
        <w:keepNext/>
        <w:widowControl/>
      </w:pPr>
      <w:r>
        <w:rPr>
          <w:rFonts w:ascii="Times New Roman" w:hAnsi="Times New Roman" w:eastAsia="Times New Roman"/>
          <w:b/>
          <w:color w:val="000000"/>
          <w:sz w:val="23"/>
        </w:rPr>
        <w:t>5.3.3 Modelos candidatos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Comparará el desempeño fuera de muestra, la dispersión entre cortes, la complejidad y el tiempo de ejecución de los modelos entrenados.</w:t>
      </w:r>
    </w:p>
    <w:p>
      <w:pPr>
        <w:pStyle w:val="Ttulo3"/>
        <w:keepNext/>
        <w:widowControl/>
      </w:pPr>
      <w:r>
        <w:rPr>
          <w:rFonts w:ascii="Times New Roman" w:hAnsi="Times New Roman" w:eastAsia="Times New Roman"/>
          <w:b/>
          <w:color w:val="000000"/>
          <w:sz w:val="23"/>
        </w:rPr>
        <w:t>5.3.4 Estrategia multihorizonte y agrupada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las diferencias entre modelos por horizonte y modelo global, además de la coherencia entre predicciones por variedad, color, producto y total.</w:t>
      </w:r>
    </w:p>
    <w:p>
      <w:pPr>
        <w:pStyle w:val="Ttulo3"/>
        <w:keepNext/>
        <w:widowControl/>
      </w:pPr>
      <w:r>
        <w:rPr>
          <w:rFonts w:ascii="Times New Roman" w:hAnsi="Times New Roman" w:eastAsia="Times New Roman"/>
          <w:b/>
          <w:color w:val="000000"/>
          <w:sz w:val="23"/>
        </w:rPr>
        <w:t>5.3.5 Validación temporal y ajuste</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resultados por corte temporal, estabilidad de hiperparámetros y desempeño en el periodo final reservado para prueba.</w:t>
      </w:r>
    </w:p>
    <w:p>
      <w:pPr>
        <w:pStyle w:val="Ttulo3"/>
        <w:keepNext/>
        <w:widowControl/>
      </w:pPr>
      <w:r>
        <w:rPr>
          <w:rFonts w:ascii="Times New Roman" w:hAnsi="Times New Roman" w:eastAsia="Times New Roman"/>
          <w:b/>
          <w:color w:val="000000"/>
          <w:sz w:val="23"/>
        </w:rPr>
        <w:t>5.3.6 Métricas y criterios de aceptación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WAPE, MAE, RMSE, sesgo, MASE y cumplimiento de la banda operativa, con desagregación suficiente para no ocultar fallas por segmento.</w:t>
      </w:r>
    </w:p>
    <w:p>
      <w:pPr>
        <w:pStyle w:val="Ttulo3"/>
        <w:keepNext/>
        <w:widowControl/>
      </w:pPr>
      <w:r>
        <w:rPr>
          <w:rFonts w:ascii="Times New Roman" w:hAnsi="Times New Roman" w:eastAsia="Times New Roman"/>
          <w:b/>
          <w:color w:val="000000"/>
          <w:sz w:val="23"/>
        </w:rPr>
        <w:t>5.3.7 Interpretabilidad robustez y selección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Analizará importancia de variables, semanas extremas, residuos, sensibilidad a ventanas y estabilidad. Justificará la solución elegida o una regla de uso diferenciada si ningún modelo domina en todos los segmentos.</w:t>
      </w:r>
    </w:p>
    <w:p>
      <w:pPr>
        <w:pStyle w:val="Ttulo2"/>
        <w:keepNext/>
        <w:widowControl/>
      </w:pPr>
      <w:r>
        <w:rPr>
          <w:rFonts w:ascii="Times New Roman" w:hAnsi="Times New Roman" w:eastAsia="Times New Roman"/>
          <w:b/>
          <w:color w:val="000000"/>
          <w:sz w:val="25"/>
        </w:rPr>
        <w:t>5.4 Distribución intrasemanal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si el segundo nivel aporta información útil sin perder coherencia con el pronóstico semanal. Si no se ejecuta, documentará la decisión y la trasladará a perspectivas futuras.</w:t>
      </w:r>
    </w:p>
    <w:p>
      <w:pPr>
        <w:pStyle w:val="Ttulo3"/>
        <w:keepNext/>
        <w:widowControl/>
      </w:pPr>
      <w:r>
        <w:rPr>
          <w:rFonts w:ascii="Times New Roman" w:hAnsi="Times New Roman" w:eastAsia="Times New Roman"/>
          <w:b/>
          <w:color w:val="000000"/>
          <w:sz w:val="23"/>
        </w:rPr>
        <w:t>5.4.1 Formulación del segundo nivel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la distribución observada y estimada del total semanal entre días o franjas, incluida la comprobación de suma al total semanal.</w:t>
      </w:r>
    </w:p>
    <w:p>
      <w:pPr>
        <w:pStyle w:val="Ttulo3"/>
        <w:keepNext/>
        <w:widowControl/>
      </w:pPr>
      <w:r>
        <w:rPr>
          <w:rFonts w:ascii="Times New Roman" w:hAnsi="Times New Roman" w:eastAsia="Times New Roman"/>
          <w:b/>
          <w:color w:val="000000"/>
          <w:sz w:val="23"/>
        </w:rPr>
        <w:t>5.4.2 Variables y modelos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Comparará las alternativas efectivamente evaluadas y el aporte de día de la semana, festivos, patrones recientes, clima disponible y variables operativas.</w:t>
      </w:r>
    </w:p>
    <w:p>
      <w:pPr>
        <w:pStyle w:val="Ttulo3"/>
        <w:keepNext/>
        <w:widowControl/>
      </w:pPr>
      <w:r>
        <w:rPr>
          <w:rFonts w:ascii="Times New Roman" w:hAnsi="Times New Roman" w:eastAsia="Times New Roman"/>
          <w:b/>
          <w:color w:val="000000"/>
          <w:sz w:val="23"/>
        </w:rPr>
        <w:t>5.4.3 Validación y criterio de continuidad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el desempeño diario, la coherencia semanal y la decisión sustentada de mantener, simplificar o suspender este nivel.</w:t>
      </w:r>
    </w:p>
    <w:p>
      <w:pPr>
        <w:pStyle w:val="Ttulo2"/>
        <w:keepNext/>
        <w:widowControl/>
      </w:pPr>
      <w:r>
        <w:rPr>
          <w:rFonts w:ascii="Times New Roman" w:hAnsi="Times New Roman" w:eastAsia="Times New Roman"/>
          <w:b/>
          <w:color w:val="000000"/>
          <w:sz w:val="25"/>
        </w:rPr>
        <w:t>5.5 Comunicación y validación empresarial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el producto entregado, la retroalimentación de los usuarios, las decisiones apoyadas y los indicadores de valor observables.</w:t>
      </w:r>
    </w:p>
    <w:p>
      <w:pPr>
        <w:pStyle w:val="Ttulo3"/>
        <w:keepNext/>
        <w:widowControl/>
      </w:pPr>
      <w:r>
        <w:rPr>
          <w:rFonts w:ascii="Times New Roman" w:hAnsi="Times New Roman" w:eastAsia="Times New Roman"/>
          <w:b/>
          <w:color w:val="000000"/>
          <w:sz w:val="23"/>
        </w:rPr>
        <w:t>5.5.1 Tablero o reporte operativo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las vistas finales, filtros, alertas y trazabilidad, y explicará cómo se interpretan sin revelar información confidencial innecesaria.</w:t>
      </w:r>
    </w:p>
    <w:p>
      <w:pPr>
        <w:pStyle w:val="Ttulo3"/>
        <w:keepNext/>
        <w:widowControl/>
      </w:pPr>
      <w:r>
        <w:rPr>
          <w:rFonts w:ascii="Times New Roman" w:hAnsi="Times New Roman" w:eastAsia="Times New Roman"/>
          <w:b/>
          <w:color w:val="000000"/>
          <w:sz w:val="23"/>
        </w:rPr>
        <w:t>5.5.2 Protocolo de validación con la empresa</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Reportará participantes, periodo de prueba, observaciones de ventas, compras, producción y poscosecha, cambios realizados y nivel de aceptación.</w:t>
      </w:r>
    </w:p>
    <w:p>
      <w:pPr>
        <w:pStyle w:val="Ttulo3"/>
        <w:keepNext/>
        <w:widowControl/>
      </w:pPr>
      <w:r>
        <w:rPr>
          <w:rFonts w:ascii="Times New Roman" w:hAnsi="Times New Roman" w:eastAsia="Times New Roman"/>
          <w:b/>
          <w:color w:val="000000"/>
          <w:sz w:val="23"/>
        </w:rPr>
        <w:t>5.5.3 Indicadores de generación de valor</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Mostrará los indicadores que pudieron medirse y distinguirá resultados observados de beneficios esperados todavía no validados.</w:t>
      </w:r>
    </w:p>
    <w:p>
      <w:pPr>
        <w:pStyle w:val="Ttulo3"/>
        <w:keepNext/>
        <w:widowControl/>
      </w:pPr>
      <w:r>
        <w:rPr>
          <w:rFonts w:ascii="Times New Roman" w:hAnsi="Times New Roman" w:eastAsia="Times New Roman"/>
          <w:b/>
          <w:color w:val="000000"/>
          <w:sz w:val="23"/>
        </w:rPr>
        <w:t>5.5.4 Monitoreo y actualización</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el esquema acordado para vigilar error, sesgo, cobertura, deriva y fallas de datos, además de la frecuencia de actualización y la intervención del experto.</w:t>
      </w:r>
    </w:p>
    <w:p>
      <w:pPr>
        <w:pStyle w:val="Ttulo1"/>
        <w:keepNext/>
        <w:widowControl/>
      </w:pPr>
      <w:r>
        <w:rPr>
          <w:rFonts w:ascii="Times New Roman" w:hAnsi="Times New Roman" w:eastAsia="Times New Roman"/>
          <w:b/>
          <w:color w:val="000000"/>
          <w:sz w:val="28"/>
        </w:rPr>
        <w:t>6 Conclusiones y perspectivas futuras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Cerrará el trabajo con respuestas verificables, recomendaciones y límites. No repetirá todas las tablas del capítulo 5.</w:t>
      </w:r>
    </w:p>
    <w:p>
      <w:pPr>
        <w:pStyle w:val="Ttulo2"/>
        <w:keepNext/>
        <w:widowControl/>
      </w:pPr>
      <w:r>
        <w:rPr>
          <w:rFonts w:ascii="Times New Roman" w:hAnsi="Times New Roman" w:eastAsia="Times New Roman"/>
          <w:b/>
          <w:color w:val="000000"/>
          <w:sz w:val="25"/>
        </w:rPr>
        <w:t>6.1 Conclusiones por objetivo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Presentará una conclusión respaldada por evidencia para cada objetivo específico e indicará con transparencia cualquier objetivo parcialmente cumplido.</w:t>
      </w:r>
    </w:p>
    <w:p>
      <w:pPr>
        <w:pStyle w:val="Ttulo2"/>
        <w:keepNext/>
        <w:widowControl/>
      </w:pPr>
      <w:r>
        <w:rPr>
          <w:rFonts w:ascii="Times New Roman" w:hAnsi="Times New Roman" w:eastAsia="Times New Roman"/>
          <w:b/>
          <w:color w:val="000000"/>
          <w:sz w:val="25"/>
        </w:rPr>
        <w:t>6.2 Conclusión general</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Sintetizará la respuesta a la pregunta de negocio, la comparación frente a baselines y las condiciones necesarias para usar la solución.</w:t>
      </w:r>
    </w:p>
    <w:p>
      <w:pPr>
        <w:pStyle w:val="Ttulo2"/>
        <w:keepNext/>
        <w:widowControl/>
      </w:pPr>
      <w:r>
        <w:rPr>
          <w:rFonts w:ascii="Times New Roman" w:hAnsi="Times New Roman" w:eastAsia="Times New Roman"/>
          <w:b/>
          <w:color w:val="000000"/>
          <w:sz w:val="25"/>
        </w:rPr>
        <w:t>6.3 Recomendaciones para La Gaitana Farms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Priorizará acciones sobre calidad y gobierno de datos, proceso de emisión, interacción con el criterio experto, adopción del tablero y seguimiento del desempeño.</w:t>
      </w:r>
    </w:p>
    <w:p>
      <w:pPr>
        <w:pStyle w:val="Ttulo2"/>
        <w:keepNext/>
        <w:widowControl/>
      </w:pPr>
      <w:r>
        <w:rPr>
          <w:rFonts w:ascii="Times New Roman" w:hAnsi="Times New Roman" w:eastAsia="Times New Roman"/>
          <w:b/>
          <w:color w:val="000000"/>
          <w:sz w:val="25"/>
        </w:rPr>
        <w:t>6.4 Limitaciones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restricciones de historia, granularidad, representatividad, disponibilidad climática, calidad de curvas, definición de PDN, validación empresarial y confidencialidad.</w:t>
      </w:r>
    </w:p>
    <w:p>
      <w:pPr>
        <w:pStyle w:val="Ttulo2"/>
        <w:keepNext/>
        <w:widowControl/>
      </w:pPr>
      <w:r>
        <w:rPr>
          <w:rFonts w:ascii="Times New Roman" w:hAnsi="Times New Roman" w:eastAsia="Times New Roman"/>
          <w:b/>
          <w:color w:val="000000"/>
          <w:sz w:val="25"/>
        </w:rPr>
        <w:t>6.5 Perspectivas futuras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Propondrá extensiones justificadas, como mayor cobertura de SQL, pronósticos meteorológicos, sanidad y labores, intervalos probabilísticos, mejoras al nivel intra-semanal, otras fincas y automatización.</w:t>
      </w:r>
    </w:p>
    <w:p>
      <w:pPr>
        <w:pStyle w:val="Ttulo1"/>
        <w:keepNext/>
        <w:widowControl/>
      </w:pPr>
      <w:r>
        <w:rPr>
          <w:rFonts w:ascii="Times New Roman" w:hAnsi="Times New Roman" w:eastAsia="Times New Roman"/>
          <w:b/>
          <w:color w:val="000000"/>
          <w:sz w:val="28"/>
        </w:rPr>
        <w:t>Referencias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Incluirá únicamente las fuentes citadas y mantendrá un estándar bibliográfico acordado con el asesor. La revisión breve de antecedentes deberá corresponder con decisiones o interpretaciones utilizadas en el trabajo.</w:t>
      </w:r>
    </w:p>
    <w:p>
      <w:pPr>
        <w:pStyle w:val="Ttulo1"/>
        <w:keepNext/>
        <w:widowControl/>
      </w:pPr>
      <w:r>
        <w:rPr>
          <w:rFonts w:ascii="Times New Roman" w:hAnsi="Times New Roman" w:eastAsia="Times New Roman"/>
          <w:b/>
          <w:color w:val="000000"/>
          <w:sz w:val="28"/>
        </w:rPr>
        <w:t>Glosario y siglas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Aparecerá al final, como recomendó el profesor, y definirá términos específicos de la empresa o del cultivo. Incluirá PDN solo después de confirmar su significado exacto, además de las siglas necesarias para un lector externo.</w:t>
      </w:r>
    </w:p>
    <w:p>
      <w:pPr>
        <w:pStyle w:val="Ttulo1"/>
        <w:keepNext/>
        <w:widowControl/>
      </w:pPr>
      <w:r>
        <w:rPr>
          <w:rFonts w:ascii="Times New Roman" w:hAnsi="Times New Roman" w:eastAsia="Times New Roman"/>
          <w:b/>
          <w:color w:val="000000"/>
          <w:sz w:val="28"/>
        </w:rPr>
        <w:t>Anexos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Contendrá soporte técnico o evidencia complementaria que permita reproducir el trabajo sin recargar el cuerpo principal. El modelo, el tablero y su validación no se relegarán a anexos; únicamente se anexará su documentación ampliada. El material sensible se manejará según las restricciones acordadas con la empresa y la Universidad.</w:t>
      </w:r>
    </w:p>
    <w:p>
      <w:pPr>
        <w:pStyle w:val="Ttulo2"/>
        <w:keepNext/>
        <w:widowControl/>
      </w:pPr>
      <w:r>
        <w:rPr>
          <w:rFonts w:ascii="Times New Roman" w:hAnsi="Times New Roman" w:eastAsia="Times New Roman"/>
          <w:b/>
          <w:color w:val="000000"/>
          <w:sz w:val="25"/>
        </w:rPr>
        <w:t>Anexo A Diccionario de datos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Relacionará fuentes, campos, tipos, unidades, frecuencia, disponibilidad, tratamiento y restricciones.</w:t>
      </w:r>
    </w:p>
    <w:p>
      <w:pPr>
        <w:pStyle w:val="Ttulo2"/>
        <w:keepNext/>
        <w:widowControl/>
      </w:pPr>
      <w:r>
        <w:rPr>
          <w:rFonts w:ascii="Times New Roman" w:hAnsi="Times New Roman" w:eastAsia="Times New Roman"/>
          <w:b/>
          <w:color w:val="000000"/>
          <w:sz w:val="25"/>
        </w:rPr>
        <w:t>Anexo B Reglas de integración y calidad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llaves, versiones, homologaciones, faltantes, atípicos y controles temporales.</w:t>
      </w:r>
    </w:p>
    <w:p>
      <w:pPr>
        <w:pStyle w:val="Ttulo2"/>
        <w:keepNext/>
        <w:widowControl/>
      </w:pPr>
      <w:r>
        <w:rPr>
          <w:rFonts w:ascii="Times New Roman" w:hAnsi="Times New Roman" w:eastAsia="Times New Roman"/>
          <w:b/>
          <w:color w:val="000000"/>
          <w:sz w:val="25"/>
        </w:rPr>
        <w:t>Anexo C Resultados exploratorios complementarios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Incluirá tablas y figuras extensas del EDA, PCA y MCA que respalden las conclusiones sin interrumpir la narrativa principal.</w:t>
      </w:r>
    </w:p>
    <w:p>
      <w:pPr>
        <w:pStyle w:val="Ttulo2"/>
        <w:keepNext/>
        <w:widowControl/>
      </w:pPr>
      <w:r>
        <w:rPr>
          <w:rFonts w:ascii="Times New Roman" w:hAnsi="Times New Roman" w:eastAsia="Times New Roman"/>
          <w:b/>
          <w:color w:val="000000"/>
          <w:sz w:val="25"/>
        </w:rPr>
        <w:t>Anexo D Resultados de modelado complementarios</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Contendrá métricas detalladas por cortes, horizontes, segmentos, hiperparámetros y pruebas de sensibilidad.</w:t>
      </w:r>
    </w:p>
    <w:p>
      <w:pPr>
        <w:pStyle w:val="Ttulo2"/>
        <w:keepNext/>
        <w:widowControl/>
      </w:pPr>
      <w:r>
        <w:rPr>
          <w:rFonts w:ascii="Times New Roman" w:hAnsi="Times New Roman" w:eastAsia="Times New Roman"/>
          <w:b/>
          <w:color w:val="000000"/>
          <w:sz w:val="25"/>
        </w:rPr>
        <w:t>Anexo E Ficha del modelo y reproducibilidad</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Documentará propósito, entradas, versión, parámetros, desempeño, limitaciones, orden de ejecución y condiciones de uso.</w:t>
      </w:r>
    </w:p>
    <w:p>
      <w:pPr>
        <w:pStyle w:val="Ttulo2"/>
        <w:keepNext/>
        <w:widowControl/>
      </w:pPr>
      <w:r>
        <w:rPr>
          <w:rFonts w:ascii="Times New Roman" w:hAnsi="Times New Roman" w:eastAsia="Times New Roman"/>
          <w:b/>
          <w:color w:val="000000"/>
          <w:sz w:val="25"/>
        </w:rPr>
        <w:t>Anexo F Documentación ampliada del tablero</w:t>
      </w:r>
    </w:p>
    <w:p>
      <w:pPr>
        <w:widowControl/>
        <w:spacing w:after="120"/>
        <w:jc w:val="both"/>
      </w:pPr>
      <w:r>
        <w:rPr>
          <w:rFonts w:ascii="Times New Roman" w:hAnsi="Times New Roman" w:eastAsia="Times New Roman"/>
          <w:b/>
          <w:color w:val="000000"/>
          <w:sz w:val="24"/>
        </w:rPr>
        <w:t xml:space="preserve">Contenido previsto. </w:t>
      </w:r>
      <w:r>
        <w:rPr>
          <w:rFonts w:ascii="Times New Roman" w:hAnsi="Times New Roman" w:eastAsia="Times New Roman"/>
          <w:i w:val="0"/>
          <w:color w:val="000000"/>
          <w:sz w:val="24"/>
        </w:rPr>
        <w:t>Reunirá capturas, definiciones de indicadores y guía de uso cuando el nivel de detalle no sea necesario en el capítulo 5.</w:t>
      </w:r>
    </w:p>
    <w:sectPr w:rsidR="00232808" w:rsidRPr="001440DD" w:rsidSect="00C50472">
      <w:headerReference w:type="even" r:id="rId7"/>
      <w:headerReference w:type="default" r:id="rId8"/>
      <w:footerReference w:type="even" r:id="rId9"/>
      <w:footerReference w:type="default" r:id="rId10"/>
      <w:headerReference w:type="first" r:id="rId11"/>
      <w:footerReference w:type="first" r:id="rId12"/>
      <w:pgSz w:w="12240" w:h="15840"/>
      <w:pgMar w:top="1411" w:right="1699"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0774" w14:textId="77777777" w:rsidR="00D55021" w:rsidRDefault="00D55021">
      <w:pPr>
        <w:spacing w:after="0" w:line="240" w:lineRule="auto"/>
      </w:pPr>
      <w:r>
        <w:separator/>
      </w:r>
    </w:p>
  </w:endnote>
  <w:endnote w:type="continuationSeparator" w:id="0">
    <w:p w14:paraId="24F905D6" w14:textId="77777777" w:rsidR="00D55021" w:rsidRDefault="00D55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A32E" w14:textId="77777777" w:rsidR="00CE6EB9" w:rsidRDefault="00CE6E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D12C" w14:textId="77777777" w:rsidR="00CE6EB9" w:rsidRDefault="00CE6EB9">
    <w:pPr>
      <w:jc w:val="center"/>
    </w:pPr>
    <w:r>
      <w:rPr>
        <w:color w:val="646464"/>
        <w:sz w:val="16"/>
      </w:rPr>
      <w:fldChar w:fldCharType="begin"/>
    </w:r>
    <w:r>
      <w:rPr>
        <w:color w:val="646464"/>
        <w:sz w:val="16"/>
      </w:rPr>
      <w:instrText>PAGE</w:instrText>
    </w:r>
    <w:r>
      <w:rPr>
        <w:color w:val="646464"/>
        <w:sz w:val="16"/>
      </w:rPr>
      <w:fldChar w:fldCharType="separate"/>
    </w:r>
    <w:r>
      <w:rPr>
        <w:noProof/>
        <w:color w:val="646464"/>
        <w:sz w:val="16"/>
      </w:rPr>
      <w:t>1</w:t>
    </w:r>
    <w:r>
      <w:rPr>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DEF6" w14:textId="77777777" w:rsidR="00CE6EB9" w:rsidRDefault="00CE6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2D14" w14:textId="77777777" w:rsidR="00D55021" w:rsidRDefault="00D55021">
      <w:pPr>
        <w:spacing w:after="0" w:line="240" w:lineRule="auto"/>
      </w:pPr>
      <w:r>
        <w:separator/>
      </w:r>
    </w:p>
  </w:footnote>
  <w:footnote w:type="continuationSeparator" w:id="0">
    <w:p w14:paraId="609D62C0" w14:textId="77777777" w:rsidR="00D55021" w:rsidRDefault="00D55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E15C" w14:textId="77777777" w:rsidR="00CE6EB9" w:rsidRDefault="00CE6E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2893" w14:textId="77777777" w:rsidR="00CE6EB9" w:rsidRPr="00067816" w:rsidRDefault="00CE6EB9">
    <w:pPr>
      <w:jc w:val="right"/>
      <w:rPr>
        <w:lang w:val="es-US"/>
      </w:rPr>
    </w:pPr>
    <w:r>
      <w:rPr>
        <w:rFonts w:ascii="Calibri" w:hAnsi="Calibri" w:eastAsia="Calibri"/>
        <w:b w:val="0"/>
        <w:color w:val="646464"/>
        <w:sz w:val="16"/>
      </w:rPr>
      <w:t>Estructura del Trabajo de Grado | Modelo predictivo de producción de flores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9BEA" w14:textId="77777777" w:rsidR="00CE6EB9" w:rsidRDefault="00CE6E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C44FC9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0888900">
    <w:abstractNumId w:val="7"/>
  </w:num>
  <w:num w:numId="2" w16cid:durableId="100223924">
    <w:abstractNumId w:val="7"/>
  </w:num>
  <w:num w:numId="3" w16cid:durableId="1025134567">
    <w:abstractNumId w:val="0"/>
  </w:num>
  <w:num w:numId="4" w16cid:durableId="1122459175">
    <w:abstractNumId w:val="2"/>
  </w:num>
  <w:num w:numId="5" w16cid:durableId="1157307117">
    <w:abstractNumId w:val="7"/>
  </w:num>
  <w:num w:numId="6" w16cid:durableId="1256208944">
    <w:abstractNumId w:val="7"/>
  </w:num>
  <w:num w:numId="7" w16cid:durableId="1303534130">
    <w:abstractNumId w:val="7"/>
  </w:num>
  <w:num w:numId="8" w16cid:durableId="1328750685">
    <w:abstractNumId w:val="7"/>
  </w:num>
  <w:num w:numId="9" w16cid:durableId="1463495281">
    <w:abstractNumId w:val="7"/>
  </w:num>
  <w:num w:numId="10" w16cid:durableId="1511990304">
    <w:abstractNumId w:val="7"/>
  </w:num>
  <w:num w:numId="11" w16cid:durableId="1526361776">
    <w:abstractNumId w:val="7"/>
  </w:num>
  <w:num w:numId="12" w16cid:durableId="1575118231">
    <w:abstractNumId w:val="7"/>
  </w:num>
  <w:num w:numId="13" w16cid:durableId="1633712414">
    <w:abstractNumId w:val="7"/>
  </w:num>
  <w:num w:numId="14" w16cid:durableId="1760251747">
    <w:abstractNumId w:val="7"/>
    <w:lvlOverride w:ilvl="0">
      <w:startOverride w:val="4"/>
    </w:lvlOverride>
  </w:num>
  <w:num w:numId="15" w16cid:durableId="1814637079">
    <w:abstractNumId w:val="8"/>
  </w:num>
  <w:num w:numId="16" w16cid:durableId="1866821168">
    <w:abstractNumId w:val="1"/>
  </w:num>
  <w:num w:numId="17" w16cid:durableId="1906716723">
    <w:abstractNumId w:val="4"/>
  </w:num>
  <w:num w:numId="18" w16cid:durableId="1915047619">
    <w:abstractNumId w:val="7"/>
  </w:num>
  <w:num w:numId="19" w16cid:durableId="1935741820">
    <w:abstractNumId w:val="5"/>
  </w:num>
  <w:num w:numId="20" w16cid:durableId="1956207214">
    <w:abstractNumId w:val="7"/>
  </w:num>
  <w:num w:numId="21" w16cid:durableId="259144609">
    <w:abstractNumId w:val="7"/>
  </w:num>
  <w:num w:numId="22" w16cid:durableId="348333688">
    <w:abstractNumId w:val="7"/>
  </w:num>
  <w:num w:numId="23" w16cid:durableId="479736907">
    <w:abstractNumId w:val="7"/>
  </w:num>
  <w:num w:numId="24" w16cid:durableId="677123098">
    <w:abstractNumId w:val="7"/>
  </w:num>
  <w:num w:numId="25" w16cid:durableId="681124224">
    <w:abstractNumId w:val="7"/>
  </w:num>
  <w:num w:numId="26" w16cid:durableId="908033727">
    <w:abstractNumId w:val="7"/>
  </w:num>
  <w:num w:numId="27" w16cid:durableId="931159888">
    <w:abstractNumId w:val="7"/>
  </w:num>
  <w:num w:numId="28" w16cid:durableId="940452564">
    <w:abstractNumId w:val="3"/>
  </w:num>
  <w:num w:numId="29" w16cid:durableId="9696313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E80"/>
    <w:rsid w:val="000128F5"/>
    <w:rsid w:val="00015D1F"/>
    <w:rsid w:val="000211D1"/>
    <w:rsid w:val="00027CB8"/>
    <w:rsid w:val="00034616"/>
    <w:rsid w:val="00036785"/>
    <w:rsid w:val="00047BBD"/>
    <w:rsid w:val="00053326"/>
    <w:rsid w:val="0006063C"/>
    <w:rsid w:val="00064F03"/>
    <w:rsid w:val="00067816"/>
    <w:rsid w:val="00096D46"/>
    <w:rsid w:val="000C27CA"/>
    <w:rsid w:val="000F36BB"/>
    <w:rsid w:val="00100F98"/>
    <w:rsid w:val="00104FB6"/>
    <w:rsid w:val="001226E3"/>
    <w:rsid w:val="001440DD"/>
    <w:rsid w:val="0015074B"/>
    <w:rsid w:val="00156F42"/>
    <w:rsid w:val="00173280"/>
    <w:rsid w:val="00173FC1"/>
    <w:rsid w:val="00193E42"/>
    <w:rsid w:val="001A0408"/>
    <w:rsid w:val="001A06E1"/>
    <w:rsid w:val="001B0B67"/>
    <w:rsid w:val="001C76CE"/>
    <w:rsid w:val="001D1151"/>
    <w:rsid w:val="001D512C"/>
    <w:rsid w:val="001E401C"/>
    <w:rsid w:val="001F10A3"/>
    <w:rsid w:val="001F1B64"/>
    <w:rsid w:val="001F1E03"/>
    <w:rsid w:val="0021324C"/>
    <w:rsid w:val="00220C44"/>
    <w:rsid w:val="00232808"/>
    <w:rsid w:val="00236FB5"/>
    <w:rsid w:val="00240442"/>
    <w:rsid w:val="00254E03"/>
    <w:rsid w:val="00262F65"/>
    <w:rsid w:val="002643BD"/>
    <w:rsid w:val="00283A8E"/>
    <w:rsid w:val="0028781C"/>
    <w:rsid w:val="0029639D"/>
    <w:rsid w:val="0029643C"/>
    <w:rsid w:val="002A3989"/>
    <w:rsid w:val="002B52D0"/>
    <w:rsid w:val="002B68F8"/>
    <w:rsid w:val="002D4A63"/>
    <w:rsid w:val="00326F90"/>
    <w:rsid w:val="003279DF"/>
    <w:rsid w:val="00327C63"/>
    <w:rsid w:val="00330D39"/>
    <w:rsid w:val="003361CC"/>
    <w:rsid w:val="00347530"/>
    <w:rsid w:val="00392391"/>
    <w:rsid w:val="003A675D"/>
    <w:rsid w:val="003A6A5F"/>
    <w:rsid w:val="003C2CAD"/>
    <w:rsid w:val="003E0405"/>
    <w:rsid w:val="003F4B24"/>
    <w:rsid w:val="003F4B5D"/>
    <w:rsid w:val="003F65A9"/>
    <w:rsid w:val="00401D47"/>
    <w:rsid w:val="00416270"/>
    <w:rsid w:val="00443C77"/>
    <w:rsid w:val="004542A7"/>
    <w:rsid w:val="00464ACC"/>
    <w:rsid w:val="00467D76"/>
    <w:rsid w:val="0047410D"/>
    <w:rsid w:val="00486566"/>
    <w:rsid w:val="00490848"/>
    <w:rsid w:val="004A5385"/>
    <w:rsid w:val="004B3AE9"/>
    <w:rsid w:val="004D3BF3"/>
    <w:rsid w:val="004D732A"/>
    <w:rsid w:val="004F75A0"/>
    <w:rsid w:val="005016A7"/>
    <w:rsid w:val="00503E87"/>
    <w:rsid w:val="00506CB6"/>
    <w:rsid w:val="00507B67"/>
    <w:rsid w:val="00550FBF"/>
    <w:rsid w:val="0055489A"/>
    <w:rsid w:val="00567C31"/>
    <w:rsid w:val="00587D9F"/>
    <w:rsid w:val="0059005F"/>
    <w:rsid w:val="00591E3B"/>
    <w:rsid w:val="005B2C14"/>
    <w:rsid w:val="005C37EB"/>
    <w:rsid w:val="005D0D1B"/>
    <w:rsid w:val="005E20FE"/>
    <w:rsid w:val="005F4912"/>
    <w:rsid w:val="00603CFD"/>
    <w:rsid w:val="0063366C"/>
    <w:rsid w:val="00645ECA"/>
    <w:rsid w:val="006501ED"/>
    <w:rsid w:val="00664E4B"/>
    <w:rsid w:val="00695CE7"/>
    <w:rsid w:val="006B5FAB"/>
    <w:rsid w:val="006B77E9"/>
    <w:rsid w:val="006B7E2F"/>
    <w:rsid w:val="006D3207"/>
    <w:rsid w:val="006D72BB"/>
    <w:rsid w:val="006E54E6"/>
    <w:rsid w:val="006F60F9"/>
    <w:rsid w:val="00701AC8"/>
    <w:rsid w:val="00704619"/>
    <w:rsid w:val="007047A2"/>
    <w:rsid w:val="00730C83"/>
    <w:rsid w:val="00732659"/>
    <w:rsid w:val="00742D20"/>
    <w:rsid w:val="007A7DB8"/>
    <w:rsid w:val="007D7096"/>
    <w:rsid w:val="00823C7E"/>
    <w:rsid w:val="0083046F"/>
    <w:rsid w:val="00832E3A"/>
    <w:rsid w:val="008460AC"/>
    <w:rsid w:val="00872BDF"/>
    <w:rsid w:val="0088120B"/>
    <w:rsid w:val="00882489"/>
    <w:rsid w:val="00897851"/>
    <w:rsid w:val="008B4153"/>
    <w:rsid w:val="008D1905"/>
    <w:rsid w:val="008F5245"/>
    <w:rsid w:val="00904A8C"/>
    <w:rsid w:val="00911392"/>
    <w:rsid w:val="009347FD"/>
    <w:rsid w:val="00946E79"/>
    <w:rsid w:val="00962A7F"/>
    <w:rsid w:val="0096689F"/>
    <w:rsid w:val="00971498"/>
    <w:rsid w:val="009770E3"/>
    <w:rsid w:val="0099194F"/>
    <w:rsid w:val="00994417"/>
    <w:rsid w:val="009B12DA"/>
    <w:rsid w:val="009B148F"/>
    <w:rsid w:val="009B3C99"/>
    <w:rsid w:val="009D39AA"/>
    <w:rsid w:val="009F5876"/>
    <w:rsid w:val="00A247AC"/>
    <w:rsid w:val="00A4591D"/>
    <w:rsid w:val="00A46FDA"/>
    <w:rsid w:val="00A55DFC"/>
    <w:rsid w:val="00A56AB6"/>
    <w:rsid w:val="00A60C26"/>
    <w:rsid w:val="00A62099"/>
    <w:rsid w:val="00A70B4E"/>
    <w:rsid w:val="00A75595"/>
    <w:rsid w:val="00A873FD"/>
    <w:rsid w:val="00AA1D8D"/>
    <w:rsid w:val="00AA295E"/>
    <w:rsid w:val="00B00347"/>
    <w:rsid w:val="00B02EBE"/>
    <w:rsid w:val="00B10046"/>
    <w:rsid w:val="00B11F65"/>
    <w:rsid w:val="00B160A3"/>
    <w:rsid w:val="00B17622"/>
    <w:rsid w:val="00B301A9"/>
    <w:rsid w:val="00B3102B"/>
    <w:rsid w:val="00B31543"/>
    <w:rsid w:val="00B3666B"/>
    <w:rsid w:val="00B47730"/>
    <w:rsid w:val="00B56BF0"/>
    <w:rsid w:val="00B7065A"/>
    <w:rsid w:val="00B76AAA"/>
    <w:rsid w:val="00B9035D"/>
    <w:rsid w:val="00B9113E"/>
    <w:rsid w:val="00BA67E2"/>
    <w:rsid w:val="00BB25A8"/>
    <w:rsid w:val="00BB5BD9"/>
    <w:rsid w:val="00BB7715"/>
    <w:rsid w:val="00BD41B9"/>
    <w:rsid w:val="00BE401E"/>
    <w:rsid w:val="00BF7CE2"/>
    <w:rsid w:val="00C050E4"/>
    <w:rsid w:val="00C07E4C"/>
    <w:rsid w:val="00C10381"/>
    <w:rsid w:val="00C20E51"/>
    <w:rsid w:val="00C23F6D"/>
    <w:rsid w:val="00C26AA0"/>
    <w:rsid w:val="00C32AFA"/>
    <w:rsid w:val="00C50472"/>
    <w:rsid w:val="00C64052"/>
    <w:rsid w:val="00C7514D"/>
    <w:rsid w:val="00C80C62"/>
    <w:rsid w:val="00C853D1"/>
    <w:rsid w:val="00C95C17"/>
    <w:rsid w:val="00CA1521"/>
    <w:rsid w:val="00CA5D23"/>
    <w:rsid w:val="00CB0052"/>
    <w:rsid w:val="00CB0664"/>
    <w:rsid w:val="00CC6857"/>
    <w:rsid w:val="00CE519F"/>
    <w:rsid w:val="00CE6EB9"/>
    <w:rsid w:val="00D035C2"/>
    <w:rsid w:val="00D064F5"/>
    <w:rsid w:val="00D101DE"/>
    <w:rsid w:val="00D55021"/>
    <w:rsid w:val="00D82261"/>
    <w:rsid w:val="00D87C31"/>
    <w:rsid w:val="00DB61F3"/>
    <w:rsid w:val="00DE1700"/>
    <w:rsid w:val="00DF143B"/>
    <w:rsid w:val="00DF314F"/>
    <w:rsid w:val="00DF54FE"/>
    <w:rsid w:val="00E125A2"/>
    <w:rsid w:val="00E32D8F"/>
    <w:rsid w:val="00E450FB"/>
    <w:rsid w:val="00E572F6"/>
    <w:rsid w:val="00E64365"/>
    <w:rsid w:val="00E83C3B"/>
    <w:rsid w:val="00EA490C"/>
    <w:rsid w:val="00ED0538"/>
    <w:rsid w:val="00EE767D"/>
    <w:rsid w:val="00F01E12"/>
    <w:rsid w:val="00F0357D"/>
    <w:rsid w:val="00F16774"/>
    <w:rsid w:val="00F24E73"/>
    <w:rsid w:val="00F36C24"/>
    <w:rsid w:val="00F54F78"/>
    <w:rsid w:val="00F75719"/>
    <w:rsid w:val="00F76E43"/>
    <w:rsid w:val="00F80EF7"/>
    <w:rsid w:val="00FA56AE"/>
    <w:rsid w:val="00FA5F31"/>
    <w:rsid w:val="00FB1301"/>
    <w:rsid w:val="00FB41EC"/>
    <w:rsid w:val="00FC498D"/>
    <w:rsid w:val="00FC693F"/>
    <w:rsid w:val="00FC7ED4"/>
    <w:rsid w:val="00FD6017"/>
    <w:rsid w:val="00FF7C45"/>
    <w:rsid w:val="0468A2EA"/>
    <w:rsid w:val="12B85B0E"/>
    <w:rsid w:val="20F679D8"/>
    <w:rsid w:val="24BF7546"/>
    <w:rsid w:val="24E2CCA2"/>
    <w:rsid w:val="4C177B89"/>
    <w:rsid w:val="4DE855C1"/>
    <w:rsid w:val="51861584"/>
    <w:rsid w:val="59E5E92F"/>
    <w:rsid w:val="5DA6BE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6C8E4"/>
  <w14:defaultImageDpi w14:val="300"/>
  <w15:docId w15:val="{DB76035A-3DDF-42B4-853B-D2617142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both"/>
    </w:pPr>
    <w:rPr>
      <w:rFonts w:ascii="Times New Roman" w:eastAsia="Times New Roman" w:hAnsi="Times New Roman"/>
      <w:b w:val="0"/>
      <w:color w:val="000000"/>
      <w:sz w:val="24"/>
    </w:rPr>
  </w:style>
  <w:style w:type="paragraph" w:styleId="Ttulo1">
    <w:name w:val="heading 1"/>
    <w:basedOn w:val="Normal"/>
    <w:next w:val="Normal"/>
    <w:uiPriority w:val="9"/>
    <w:qFormat/>
    <w:rsid w:val="004D732A"/>
    <w:pPr>
      <w:keepNext/>
      <w:keepLines/>
      <w:spacing w:before="240" w:after="160"/>
      <w:outlineLvl w:val="0"/>
    </w:pPr>
    <w:rPr>
      <w:rFonts w:eastAsiaTheme="majorEastAsia" w:cstheme="majorBidi" w:ascii="Times New Roman" w:hAnsi="Times New Roman" w:eastAsia="Times New Roman"/>
      <w:b/>
      <w:bCs/>
      <w:color w:val="000000"/>
      <w:sz w:val="28"/>
      <w:szCs w:val="28"/>
    </w:rPr>
  </w:style>
  <w:style w:type="paragraph" w:styleId="Ttulo2">
    <w:name w:val="heading 2"/>
    <w:basedOn w:val="Normal"/>
    <w:next w:val="Normal"/>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Ttulo3">
    <w:name w:val="heading 3"/>
    <w:basedOn w:val="Normal"/>
    <w:next w:val="Normal"/>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3"/>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C693F"/>
    <w:pPr>
      <w:spacing w:after="0" w:line="240" w:lineRule="auto"/>
    </w:pPr>
  </w:style>
  <w:style w:type="paragraph" w:styleId="NormalWeb">
    <w:name w:val="Normal (Web)"/>
    <w:basedOn w:val="Normal"/>
    <w:uiPriority w:val="99"/>
    <w:unhideWhenUsed/>
    <w:rsid w:val="00664E4B"/>
    <w:pPr>
      <w:spacing w:before="100" w:beforeAutospacing="1" w:after="100" w:afterAutospacing="1" w:line="240" w:lineRule="auto"/>
    </w:pPr>
    <w:rPr>
      <w:rFonts w:cs="Times New Roman"/>
      <w:szCs w:val="24"/>
      <w:lang w:val="es-US" w:eastAsia="es-MX"/>
    </w:rPr>
  </w:style>
  <w:style w:type="table" w:styleId="Tablaconcuadrculaclara">
    <w:name w:val="Grid Table Light"/>
    <w:basedOn w:val="Tablanormal"/>
    <w:uiPriority w:val="99"/>
    <w:rsid w:val="00550F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E643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B903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B903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99"/>
    <w:rsid w:val="006B77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6B77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FC693F"/>
    <w:pPr>
      <w:ind w:left="720"/>
      <w:contextualSpacing/>
    </w:pPr>
  </w:style>
  <w:style w:type="table" w:styleId="Tablaconcuadrcula1clara-nfasis1">
    <w:name w:val="Grid Table 1 Light Accent 1"/>
    <w:basedOn w:val="Tablanormal"/>
    <w:uiPriority w:val="46"/>
    <w:rsid w:val="00C80C6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5"/>
      </w:numPr>
      <w:contextualSpacing/>
    </w:pPr>
  </w:style>
  <w:style w:type="paragraph" w:styleId="Listaconvietas2">
    <w:name w:val="List Bullet 2"/>
    <w:basedOn w:val="Normal"/>
    <w:uiPriority w:val="99"/>
    <w:unhideWhenUsed/>
    <w:rsid w:val="00326F90"/>
    <w:pPr>
      <w:numPr>
        <w:numId w:val="29"/>
      </w:numPr>
      <w:contextualSpacing/>
    </w:pPr>
  </w:style>
  <w:style w:type="paragraph" w:styleId="Listaconvietas3">
    <w:name w:val="List Bullet 3"/>
    <w:basedOn w:val="Normal"/>
    <w:uiPriority w:val="99"/>
    <w:unhideWhenUsed/>
    <w:rsid w:val="00326F90"/>
    <w:pPr>
      <w:numPr>
        <w:numId w:val="19"/>
      </w:numPr>
      <w:contextualSpacing/>
    </w:pPr>
  </w:style>
  <w:style w:type="paragraph" w:styleId="Listaconnmeros">
    <w:name w:val="List Number"/>
    <w:basedOn w:val="Normal"/>
    <w:uiPriority w:val="99"/>
    <w:unhideWhenUsed/>
    <w:rsid w:val="00326F90"/>
    <w:pPr>
      <w:numPr>
        <w:numId w:val="21"/>
      </w:numPr>
      <w:contextualSpacing/>
    </w:pPr>
  </w:style>
  <w:style w:type="paragraph" w:styleId="Listaconnmeros2">
    <w:name w:val="List Number 2"/>
    <w:basedOn w:val="Normal"/>
    <w:uiPriority w:val="99"/>
    <w:unhideWhenUsed/>
    <w:rsid w:val="0029639D"/>
    <w:pPr>
      <w:numPr>
        <w:numId w:val="28"/>
      </w:numPr>
      <w:contextualSpacing/>
    </w:pPr>
  </w:style>
  <w:style w:type="paragraph" w:styleId="Listaconnmeros3">
    <w:name w:val="List Number 3"/>
    <w:basedOn w:val="Normal"/>
    <w:uiPriority w:val="99"/>
    <w:unhideWhenUsed/>
    <w:rsid w:val="0029639D"/>
    <w:pPr>
      <w:numPr>
        <w:numId w:val="4"/>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EncabezadoCar">
    <w:name w:val="Encabezado Car"/>
    <w:basedOn w:val="Fuentedeprrafopredeter"/>
    <w:uiPriority w:val="99"/>
    <w:rsid w:val="00F0357D"/>
  </w:style>
  <w:style w:type="character" w:customStyle="1" w:styleId="PiedepginaCar">
    <w:name w:val="Pie de página Car"/>
    <w:basedOn w:val="Fuentedeprrafopredeter"/>
    <w:uiPriority w:val="99"/>
    <w:rsid w:val="00F0357D"/>
  </w:style>
  <w:style w:type="character" w:customStyle="1" w:styleId="Ttulo1Car">
    <w:name w:val="Título 1 Car"/>
    <w:basedOn w:val="Fuentedeprrafopredeter"/>
    <w:uiPriority w:val="9"/>
    <w:rsid w:val="00F0357D"/>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0357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0357D"/>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0357D"/>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0357D"/>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F0357D"/>
  </w:style>
  <w:style w:type="character" w:customStyle="1" w:styleId="Textoindependiente2Car">
    <w:name w:val="Texto independiente 2 Car"/>
    <w:basedOn w:val="Fuentedeprrafopredeter"/>
    <w:uiPriority w:val="99"/>
    <w:rsid w:val="00F0357D"/>
  </w:style>
  <w:style w:type="character" w:customStyle="1" w:styleId="Textoindependiente3Car">
    <w:name w:val="Texto independiente 3 Car"/>
    <w:basedOn w:val="Fuentedeprrafopredeter"/>
    <w:uiPriority w:val="99"/>
    <w:rsid w:val="00F0357D"/>
    <w:rPr>
      <w:sz w:val="16"/>
      <w:szCs w:val="16"/>
    </w:rPr>
  </w:style>
  <w:style w:type="character" w:customStyle="1" w:styleId="TextomacroCar">
    <w:name w:val="Texto macro Car"/>
    <w:basedOn w:val="Fuentedeprrafopredeter"/>
    <w:uiPriority w:val="99"/>
    <w:rsid w:val="00F0357D"/>
    <w:rPr>
      <w:rFonts w:ascii="Courier" w:hAnsi="Courier"/>
      <w:sz w:val="20"/>
      <w:szCs w:val="20"/>
    </w:rPr>
  </w:style>
  <w:style w:type="character" w:customStyle="1" w:styleId="CitaCar">
    <w:name w:val="Cita Car"/>
    <w:basedOn w:val="Fuentedeprrafopredeter"/>
    <w:uiPriority w:val="29"/>
    <w:rsid w:val="00F0357D"/>
    <w:rPr>
      <w:i/>
      <w:iCs/>
      <w:color w:val="000000" w:themeColor="text1"/>
    </w:rPr>
  </w:style>
  <w:style w:type="character" w:customStyle="1" w:styleId="Ttulo4Car">
    <w:name w:val="Título 4 Car"/>
    <w:basedOn w:val="Fuentedeprrafopredeter"/>
    <w:uiPriority w:val="9"/>
    <w:semiHidden/>
    <w:rsid w:val="00F0357D"/>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0357D"/>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0357D"/>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F0357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F0357D"/>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F0357D"/>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F0357D"/>
    <w:rPr>
      <w:b/>
      <w:bCs/>
      <w:i/>
      <w:iCs/>
      <w:color w:val="4F81BD" w:themeColor="accent1"/>
    </w:rPr>
  </w:style>
  <w:style w:type="character" w:customStyle="1" w:styleId="EncabezadoCar1">
    <w:name w:val="Encabezado Car1"/>
    <w:basedOn w:val="Fuentedeprrafopredeter"/>
    <w:uiPriority w:val="99"/>
    <w:rsid w:val="00F01E12"/>
    <w:rPr>
      <w:rFonts w:ascii="Calibri" w:eastAsia="Calibri" w:hAnsi="Calibri"/>
      <w:sz w:val="21"/>
    </w:rPr>
  </w:style>
  <w:style w:type="character" w:customStyle="1" w:styleId="PiedepginaCar1">
    <w:name w:val="Pie de página Car1"/>
    <w:basedOn w:val="Fuentedeprrafopredeter"/>
    <w:uiPriority w:val="99"/>
    <w:rsid w:val="00F01E12"/>
    <w:rPr>
      <w:rFonts w:ascii="Calibri" w:eastAsia="Calibri" w:hAnsi="Calibri"/>
      <w:sz w:val="21"/>
    </w:rPr>
  </w:style>
  <w:style w:type="paragraph" w:styleId="Encabezado">
    <w:name w:val="header"/>
    <w:basedOn w:val="Normal"/>
    <w:link w:val="EncabezadoCar2"/>
    <w:uiPriority w:val="99"/>
    <w:semiHidden/>
    <w:unhideWhenUsed/>
    <w:rsid w:val="00BE401E"/>
    <w:pPr>
      <w:tabs>
        <w:tab w:val="center" w:pos="4252"/>
        <w:tab w:val="right" w:pos="8504"/>
      </w:tabs>
      <w:spacing w:after="0" w:line="240" w:lineRule="auto"/>
    </w:pPr>
  </w:style>
  <w:style w:type="character" w:customStyle="1" w:styleId="EncabezadoCar2">
    <w:name w:val="Encabezado Car2"/>
    <w:basedOn w:val="Fuentedeprrafopredeter"/>
    <w:link w:val="Encabezado"/>
    <w:uiPriority w:val="99"/>
    <w:semiHidden/>
    <w:rsid w:val="00BE401E"/>
    <w:rPr>
      <w:rFonts w:ascii="Calibri" w:eastAsia="Calibri" w:hAnsi="Calibri"/>
      <w:sz w:val="21"/>
    </w:rPr>
  </w:style>
  <w:style w:type="paragraph" w:styleId="Piedepgina">
    <w:name w:val="footer"/>
    <w:basedOn w:val="Normal"/>
    <w:link w:val="PiedepginaCar2"/>
    <w:uiPriority w:val="99"/>
    <w:semiHidden/>
    <w:unhideWhenUsed/>
    <w:rsid w:val="00BE401E"/>
    <w:pPr>
      <w:tabs>
        <w:tab w:val="center" w:pos="4252"/>
        <w:tab w:val="right" w:pos="8504"/>
      </w:tabs>
      <w:spacing w:after="0" w:line="240" w:lineRule="auto"/>
    </w:pPr>
  </w:style>
  <w:style w:type="character" w:customStyle="1" w:styleId="PiedepginaCar2">
    <w:name w:val="Pie de página Car2"/>
    <w:basedOn w:val="Fuentedeprrafopredeter"/>
    <w:link w:val="Piedepgina"/>
    <w:uiPriority w:val="99"/>
    <w:semiHidden/>
    <w:rsid w:val="00BE401E"/>
    <w:rPr>
      <w:rFonts w:ascii="Calibri" w:eastAsia="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22</Pages>
  <Words>6351</Words>
  <Characters>34933</Characters>
  <Application>Microsoft Office Word</Application>
  <DocSecurity>0</DocSecurity>
  <Lines>291</Lines>
  <Paragraphs>82</Paragraphs>
  <ScaleCrop>false</ScaleCrop>
  <Manager/>
  <Company/>
  <LinksUpToDate>false</LinksUpToDate>
  <CharactersWithSpaces>41202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Andres Osorio Vergara</cp:lastModifiedBy>
  <cp:revision>184</cp:revision>
  <dcterms:created xsi:type="dcterms:W3CDTF">2026-05-05T12:06:00Z</dcterms:created>
  <dcterms:modified xsi:type="dcterms:W3CDTF">2026-09-10T21:52:00Z</dcterms:modified>
  <cp:category/>
</cp:coreProperties>
</file>