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03"/>
        <w:gridCol w:w="1389"/>
        <w:gridCol w:w="1080"/>
      </w:tblGrid>
      <w:tr>
        <w:trPr>
          <w:trHeight w:val="638" w:hRule="auto"/>
          <w:tblHeader/>
        </w:trPr>
        <w:tc>
          <w:tcPr>
            <w:gridSpan w:val="3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Tabla 2. Perú: Hogares con mascotas según tipología de tenencia, 2025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Tipo de mascota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 (N)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%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perro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1,552,025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44.7%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Perro y gato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1,135,221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32.7%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gato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591,340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17%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Perro y otra mascota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68,744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2%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Perro, gato y otra mascota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64,440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1.9%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otra mascota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1.3%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Gato y otra mascota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16,237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0.5%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Fuente: ENAHO 2025. Cálculos expandidos a nivel poblacional.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2026-07-05T18:11:42Z</dcterms:modified>
  <cp:category/>
</cp:coreProperties>
</file>