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2221"/>
        <w:gridCol w:w="2037"/>
        <w:gridCol w:w="2123"/>
      </w:tblGrid>
      <w:tr>
        <w:trPr>
          <w:trHeight w:val="638" w:hRule="auto"/>
          <w:tblHeader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3. Perú: Calidad de vivienda según tipología de tenencia de mascotas,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Tipo de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Buena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Muy mala calidad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perro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1,392,381 (89.7%)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136,982 (8.8%)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22,663 (1.5%)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526,262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57,510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7,567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40,839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986,471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130,913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17,837 (1.6%)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59,719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8,141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Gato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12,350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3,887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Perro, gato y otra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57,015 (88.5%)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7,046 (10.9%)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(0.6%)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2025 - Módulo 118.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2026-07-05T18:11:45Z</dcterms:modified>
  <cp:category/>
</cp:coreProperties>
</file>