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64"/>
        <w:gridCol w:w="2221"/>
        <w:gridCol w:w="1915"/>
        <w:gridCol w:w="2123"/>
      </w:tblGrid>
      <w:tr>
        <w:trPr>
          <w:trHeight w:val="638" w:hRule="auto"/>
          <w:tblHeader/>
        </w:trPr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Tabla 4. Perú: Calidad de vivienda en hogares con mascotas según área geográfica, 2025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Área geográfica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Buena calidad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Mala calidad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Muy mala calidad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2,552,187 (91.4%)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211,643 (7.6%)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27,913 (1%)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522,850 (76.8%)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136,132 (20%)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21,765 (3.2%)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Fuente: ENAHO 2025. Cálculos expandidos a nivel poblacional.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2026-07-05T18:11:46Z</dcterms:modified>
  <cp:category/>
</cp:coreProperties>
</file>