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31"/>
        <w:gridCol w:w="1389"/>
        <w:gridCol w:w="1080"/>
      </w:tblGrid>
      <w:tr>
        <w:trPr>
          <w:trHeight w:val="638" w:hRule="auto"/>
          <w:tblHeader/>
        </w:trPr>
        <w:tc>
          <w:tcPr>
            <w:gridSpan w:val="3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Tabla 1. Perú: Hogares con mascotas según calidad de vivienda, 2025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Calidad de vivienda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(N)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Buena calidad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3,075,036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88.6%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Mala calidad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347,775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10%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Muy mala calidad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49,678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1.4%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Fuente: ENAHO 2025. Cálculos expandidos a nivel poblacional.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2026-07-12T17:49:23Z</dcterms:modified>
  <cp:category/>
</cp:coreProperties>
</file>