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03"/>
        <w:gridCol w:w="2221"/>
        <w:gridCol w:w="2037"/>
        <w:gridCol w:w="2123"/>
      </w:tblGrid>
      <w:tr>
        <w:trPr>
          <w:trHeight w:val="638" w:hRule="auto"/>
          <w:tblHeader/>
        </w:trPr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Tabla 3. Perú: Calidad de vivienda según tipología de tenencia de mascotas, 2025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Tipo de mascota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Buena calidad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Mala calidad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Muy mala calidad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perro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1,392,381 (89.7%)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136,982 (8.8%)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22,663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gato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526,262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57,510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7,567 (1.3%)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40,839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3,296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(0.8%)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 y gato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986,471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130,913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17,837 (1.6%)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 y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59,719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8,141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883 (1.3%)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Gato y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12,350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3,887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Perro, gato y otra mascota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57,015 (88.5%)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7,046 (10.9%)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(0.6%)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Fuente: ENAHO 2025 - Módulo 118. Cálculos expandidos a nivel poblacional.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2026-07-12T17:49:33Z</dcterms:modified>
  <cp:category/>
</cp:coreProperties>
</file>