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64"/>
        <w:gridCol w:w="2221"/>
        <w:gridCol w:w="1915"/>
        <w:gridCol w:w="2123"/>
      </w:tblGrid>
      <w:tr>
        <w:trPr>
          <w:trHeight w:val="638" w:hRule="auto"/>
          <w:tblHeader/>
        </w:trPr>
        <w:tc>
          <w:tcPr>
            <w:gridSpan w:val="4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4. Perú: Calidad de vivienda en hogares con mascotas según área geográfica, 2025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Área geográfica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Buena calidad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Mala calidad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Muy mala calidad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2,552,187 (91.4%)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211,643 (7.6%)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27,913 (1%)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522,850 (76.8%)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136,132 (20%)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21,765 (3.2%)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expandidos a nivel poblacional.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2026-07-12T17:49:39Z</dcterms:modified>
  <cp:category/>
</cp:coreProperties>
</file>