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3003"/>
        <w:gridCol w:w="2221"/>
        <w:gridCol w:w="1915"/>
        <w:gridCol w:w="2123"/>
      </w:tblGrid>
      <w:tr>
        <w:trPr>
          <w:trHeight w:val="638" w:hRule="auto"/>
          <w:tblHeader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Tabla 5. Perú: Calidad de vivienda según tipología de mascota y área geográfica, 2025</w:t>
            </w:r>
          </w:p>
        </w:tc>
      </w:tr>
      <w:tr>
        <w:trPr>
          <w:trHeight w:val="638" w:hRule="auto"/>
          <w:tblHeader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Área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Tipo de mascota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Buena calidad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Mala calidad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Muy mala calidad</w:t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perro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1,199,118 (92.8%)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83,141 (6.4%)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9,977 (0.8%)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467,706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37,035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6,715 (1.3%)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40,022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2,054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(0.5%)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731,143 (89.6%)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74,558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10,759 (1.3%)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54,691 (89.7%)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6,044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 (0.4%)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Gato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10,089 (72.2%)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3,887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Perro, gato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49,418 (90.9%)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4,924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perro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193,263 (74.4%)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53,840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12,685 (4.9%)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58,556 (73.3%)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20,476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853 (1.1%)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816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1,242 (56.3%)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 (6.7%)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gato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255,328 (80.1%)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56,354 (17.7%)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7,079 (2.2%)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5,029 (64.9%)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2,097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621 (8%)</w:t>
            </w:r>
          </w:p>
        </w:tc>
      </w:tr>
      <w:tr>
        <w:trPr>
          <w:trHeight w:val="608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Gato y otra mascota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2,261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Perro, gato y otra mascota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7,597 (75.2%)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2,122 (21%)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379 (3.8%)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Fuente: ENAHO 2025. Cálculos expandidos a nivel poblacional.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2026-07-12T17:49:42Z</dcterms:modified>
  <cp:category/>
</cp:coreProperties>
</file>