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333333"/>
          <w:sz w:val="48"/>
          <w:szCs w:val="48"/>
        </w:rPr>
        <w:t xml:space="preserve">Visor de Planos SAF</w:t>
      </w:r>
    </w:p>
    <w:p>
      <w:pPr>
        <w:spacing w:before="0" w:after="240"/>
      </w:pPr>
      <w:r>
        <w:rPr>
          <w:color w:val="F97316"/>
          <w:sz w:val="24"/>
          <w:szCs w:val="24"/>
        </w:rPr>
        <w:t xml:space="preserve">Documento de Arquitectura  ·  AICSA</w:t>
      </w:r>
    </w:p>
    <w:p>
      <w:pPr>
        <w:spacing w:before="0" w:after="120"/>
      </w:pPr>
      <w:r>
        <w:rPr>
          <w:color w:val="222222"/>
          <w:sz w:val="22"/>
          <w:szCs w:val="22"/>
        </w:rPr>
        <w:t xml:space="preserve">Sistema de visualización y anotación de planos (PDF) con colaboración en tiempo real, embebido en Oracle APEX y con persistencia en Oracle vía ORDS.</w:t>
      </w:r>
    </w:p>
    <w:p>
      <w:pPr>
        <w:spacing w:before="300" w:after="120"/>
      </w:pPr>
      <w:r>
        <w:rPr>
          <w:b/>
          <w:color w:val="F97316"/>
          <w:sz w:val="32"/>
          <w:szCs w:val="32"/>
        </w:rPr>
        <w:t xml:space="preserve">1. Visión general</w:t>
      </w:r>
    </w:p>
    <w:p>
      <w:pPr>
        <w:spacing w:before="0" w:after="120"/>
      </w:pPr>
      <w:r>
        <w:rPr>
          <w:color w:val="222222"/>
          <w:sz w:val="22"/>
          <w:szCs w:val="22"/>
        </w:rPr>
        <w:t xml:space="preserve">El visor es una SPA (Vite + TypeScript) que se ejecuta dentro de un iframe del portal APEX. Renderiza el PDF con PDF.js y permite anotarlo con Fabric.js. Las marcas se sincronizan en vivo entre usuarios mediante un microservicio WebSocket y se persisten en Oracle a través de ORDS. El archivo PDF original nunca se modifica: las marcas se guardan por separado.</w:t>
      </w:r>
    </w:p>
    <w:p>
      <w:pPr>
        <w:spacing w:before="300" w:after="120"/>
      </w:pPr>
      <w:r>
        <w:rPr>
          <w:b/>
          <w:color w:val="F97316"/>
          <w:sz w:val="32"/>
          <w:szCs w:val="32"/>
        </w:rPr>
        <w:t xml:space="preserve">2. Capas</w:t>
      </w:r>
    </w:p>
    <w:tbl>
      <w:tblPr>
        <w:tblW w:w="9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DDDDDD"/>
          <w:insideV w:val="single" w:sz="4" w:color="DDDDDD"/>
        </w:tblBorders>
      </w:tblPr>
      <w:tblGrid>
        <w:gridCol w:w="1800"/>
        <w:gridCol w:w="2600"/>
        <w:gridCol w:w="4600"/>
      </w:tblGrid>
      <w:tr>
        <w:tc>
          <w:tcPr>
            <w:tcW w:w="1800" w:type="dxa"/>
            <w:shd w:val="clear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w="2600" w:type="dxa"/>
            <w:shd w:val="clear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w="4600" w:type="dxa"/>
            <w:shd w:val="clear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w="1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 Usuario</w:t>
            </w:r>
          </w:p>
        </w:tc>
        <w:tc>
          <w:tcPr>
            <w:tcW w:w="2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Navegador</w:t>
            </w:r>
          </w:p>
        </w:tc>
        <w:tc>
          <w:tcPr>
            <w:tcW w:w="4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Accede al portal APEX.</w:t>
            </w:r>
          </w:p>
        </w:tc>
      </w:tr>
      <w:tr>
        <w:tc>
          <w:tcPr>
            <w:tcW w:w="1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 APEX (padre)</w:t>
            </w:r>
          </w:p>
        </w:tc>
        <w:tc>
          <w:tcPr>
            <w:tcW w:w="2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Página APEX + iframe</w:t>
            </w:r>
          </w:p>
        </w:tc>
        <w:tc>
          <w:tcPr>
            <w:tcW w:w="4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Arma la URL del visor (identidad y plano); puente postMessage; localStorage.</w:t>
            </w:r>
          </w:p>
        </w:tc>
      </w:tr>
      <w:tr>
        <w:tc>
          <w:tcPr>
            <w:tcW w:w="1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 Visor (iframe)</w:t>
            </w:r>
          </w:p>
        </w:tc>
        <w:tc>
          <w:tcPr>
            <w:tcW w:w="2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Vite + TS + Fabric + PDF.js</w:t>
            </w:r>
          </w:p>
        </w:tc>
        <w:tc>
          <w:tcPr>
            <w:tcW w:w="4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Render PDF, herramientas de marcado, colaboración, descarga.</w:t>
            </w:r>
          </w:p>
        </w:tc>
      </w:tr>
      <w:tr>
        <w:tc>
          <w:tcPr>
            <w:tcW w:w="1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 nginx</w:t>
            </w:r>
          </w:p>
        </w:tc>
        <w:tc>
          <w:tcPr>
            <w:tcW w:w="2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192.168.50.163</w:t>
            </w:r>
          </w:p>
        </w:tc>
        <w:tc>
          <w:tcPr>
            <w:tcW w:w="4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Sirve el build en /planos/ y proxy WebSocket en /rt/ws.</w:t>
            </w:r>
          </w:p>
        </w:tc>
      </w:tr>
      <w:tr>
        <w:tc>
          <w:tcPr>
            <w:tcW w:w="1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 Colaboración</w:t>
            </w:r>
          </w:p>
        </w:tc>
        <w:tc>
          <w:tcPr>
            <w:tcW w:w="2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collab-server.js (Node)</w:t>
            </w:r>
          </w:p>
        </w:tc>
        <w:tc>
          <w:tcPr>
            <w:tcW w:w="4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Relay WebSocket: cursores, deltas de capa y presencia. Sin persistencia.</w:t>
            </w:r>
          </w:p>
        </w:tc>
      </w:tr>
      <w:tr>
        <w:tc>
          <w:tcPr>
            <w:tcW w:w="1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6 ORDS</w:t>
            </w:r>
          </w:p>
        </w:tc>
        <w:tc>
          <w:tcPr>
            <w:tcW w:w="2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Módulo Reportes</w:t>
            </w:r>
          </w:p>
        </w:tc>
        <w:tc>
          <w:tcPr>
            <w:tcW w:w="4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REST: PDF, marcas (markup) y listado de planos.</w:t>
            </w:r>
          </w:p>
        </w:tc>
      </w:tr>
      <w:tr>
        <w:tc>
          <w:tcPr>
            <w:tcW w:w="1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7 Datos</w:t>
            </w:r>
          </w:p>
        </w:tc>
        <w:tc>
          <w:tcPr>
            <w:tcW w:w="2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Oracle DB + File Server</w:t>
            </w:r>
          </w:p>
        </w:tc>
        <w:tc>
          <w:tcPr>
            <w:tcW w:w="46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Marcas (JSON), revisiones, repositorio documental y PDF originales.</w:t>
            </w:r>
          </w:p>
        </w:tc>
      </w:tr>
    </w:tbl>
    <w:p>
      <w:pPr>
        <w:spacing w:before="0" w:after="80"/>
      </w:pPr>
    </w:p>
    <w:p>
      <w:pPr>
        <w:spacing w:before="300" w:after="120"/>
      </w:pPr>
      <w:r>
        <w:rPr>
          <w:b/>
          <w:color w:val="F97316"/>
          <w:sz w:val="32"/>
          <w:szCs w:val="32"/>
        </w:rPr>
        <w:t xml:space="preserve">3. Módulos del visor (frontend)</w:t>
      </w:r>
    </w:p>
    <w:tbl>
      <w:tblPr>
        <w:tblW w:w="9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DDDDDD"/>
          <w:insideV w:val="single" w:sz="4" w:color="DDDDDD"/>
        </w:tblBorders>
      </w:tblPr>
      <w:tblGrid>
        <w:gridCol w:w="2800"/>
        <w:gridCol w:w="6200"/>
      </w:tblGrid>
      <w:tr>
        <w:tc>
          <w:tcPr>
            <w:tcW w:w="2800" w:type="dxa"/>
            <w:shd w:val="clear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w="6200" w:type="dxa"/>
            <w:shd w:val="clear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w="2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main.ts</w:t>
            </w:r>
          </w:p>
        </w:tc>
        <w:tc>
          <w:tcPr>
            <w:tcW w:w="62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Orquestador: estado, navegación, paneles, identidad, descarga, integración APEX.</w:t>
            </w:r>
          </w:p>
        </w:tc>
      </w:tr>
      <w:tr>
        <w:tc>
          <w:tcPr>
            <w:tcW w:w="2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core/pdf-renderer.ts</w:t>
            </w:r>
          </w:p>
        </w:tc>
        <w:tc>
          <w:tcPr>
            <w:tcW w:w="62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PDF.js v3: render con supersample y tiles de detalle (nitidez a cualquier zoom).</w:t>
            </w:r>
          </w:p>
        </w:tc>
      </w:tr>
      <w:tr>
        <w:tc>
          <w:tcPr>
            <w:tcW w:w="2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core/markup-layer.ts</w:t>
            </w:r>
          </w:p>
        </w:tc>
        <w:tc>
          <w:tcPr>
            <w:tcW w:w="62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Fabric.js v5: herramientas, capas por autor, undo/redo, escala, colaboración.</w:t>
            </w:r>
          </w:p>
        </w:tc>
      </w:tr>
      <w:tr>
        <w:tc>
          <w:tcPr>
            <w:tcW w:w="2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core/collab.ts</w:t>
            </w:r>
          </w:p>
        </w:tc>
        <w:tc>
          <w:tcPr>
            <w:tcW w:w="62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Cliente WebSocket nativo (sin dependencias): cursores, deltas, presencia.</w:t>
            </w:r>
          </w:p>
        </w:tc>
      </w:tr>
      <w:tr>
        <w:tc>
          <w:tcPr>
            <w:tcW w:w="2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core/scale-manager.ts</w:t>
            </w:r>
          </w:p>
        </w:tc>
        <w:tc>
          <w:tcPr>
            <w:tcW w:w="62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Calibración de escala (px ↔ unidad real).</w:t>
            </w:r>
          </w:p>
        </w:tc>
      </w:tr>
      <w:tr>
        <w:tc>
          <w:tcPr>
            <w:tcW w:w="2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config.ts</w:t>
            </w:r>
          </w:p>
        </w:tc>
        <w:tc>
          <w:tcPr>
            <w:tcW w:w="62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Endpoints configurables por variables VITE_*.</w:t>
            </w:r>
          </w:p>
        </w:tc>
      </w:tr>
      <w:tr>
        <w:tc>
          <w:tcPr>
            <w:tcW w:w="28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ui/icons.ts · styles/viewer.css</w:t>
            </w:r>
          </w:p>
        </w:tc>
        <w:tc>
          <w:tcPr>
            <w:tcW w:w="6200" w:type="dxa"/>
            <w:shd w:val="clear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Iconos embebidos (offline) y tema tokenizado (gris AICSA).</w:t>
            </w:r>
          </w:p>
        </w:tc>
      </w:tr>
    </w:tbl>
    <w:p>
      <w:pPr>
        <w:spacing w:before="0" w:after="80"/>
      </w:pPr>
    </w:p>
    <w:p>
      <w:pPr>
        <w:spacing w:before="300" w:after="120"/>
      </w:pPr>
      <w:r>
        <w:rPr>
          <w:b/>
          <w:color w:val="F97316"/>
          <w:sz w:val="32"/>
          <w:szCs w:val="32"/>
        </w:rPr>
        <w:t xml:space="preserve">4. Flujos principales</w:t>
      </w:r>
    </w:p>
    <w:p>
      <w:pPr>
        <w:spacing w:after="40"/>
        <w:ind w:left="360" w:hanging="220"/>
      </w:pPr>
      <w:r>
        <w:rPr>
          <w:b/>
          <w:color w:val="F97316"/>
          <w:sz w:val="22"/>
          <w:szCs w:val="22"/>
        </w:rPr>
        <w:t xml:space="preserve">•  </w:t>
      </w:r>
      <w:r>
        <w:rPr>
          <w:color w:val="222222"/>
          <w:sz w:val="22"/>
          <w:szCs w:val="22"/>
        </w:rPr>
        <w:t xml:space="preserve">Carga del plano: APEX abre el iframe con parámetros → el visor pide el PDF a vistaPrevia/archivo → PDF.js lo renderiza y Fabric monta la capa de marcas.</w:t>
      </w:r>
    </w:p>
    <w:p>
      <w:pPr>
        <w:spacing w:after="40"/>
        <w:ind w:left="360" w:hanging="220"/>
      </w:pPr>
      <w:r>
        <w:rPr>
          <w:b/>
          <w:color w:val="F97316"/>
          <w:sz w:val="22"/>
          <w:szCs w:val="22"/>
        </w:rPr>
        <w:t xml:space="preserve">•  </w:t>
      </w:r>
      <w:r>
        <w:rPr>
          <w:color w:val="222222"/>
          <w:sz w:val="22"/>
          <w:szCs w:val="22"/>
        </w:rPr>
        <w:t xml:space="preserve">Tiempo real: el visor se conecta por WebSocket (/rt/ws) al microservicio → cursores en vivo, deltas de capa por autor y presencia entre usuarios del mismo plano.</w:t>
      </w:r>
    </w:p>
    <w:p>
      <w:pPr>
        <w:spacing w:after="40"/>
        <w:ind w:left="360" w:hanging="220"/>
      </w:pPr>
      <w:r>
        <w:rPr>
          <w:b/>
          <w:color w:val="F97316"/>
          <w:sz w:val="22"/>
          <w:szCs w:val="22"/>
        </w:rPr>
        <w:t xml:space="preserve">•  </w:t>
      </w:r>
      <w:r>
        <w:rPr>
          <w:color w:val="222222"/>
          <w:sz w:val="22"/>
          <w:szCs w:val="22"/>
        </w:rPr>
        <w:t xml:space="preserve">Persistencia: al dibujar, POST a markup (MERGE por usuario+plano) → Oracle. Al abrir, GET markup carga las capas (propias editables, ajenas bloqueadas).</w:t>
      </w:r>
    </w:p>
    <w:p>
      <w:pPr>
        <w:spacing w:after="40"/>
        <w:ind w:left="360" w:hanging="220"/>
      </w:pPr>
      <w:r>
        <w:rPr>
          <w:b/>
          <w:color w:val="F97316"/>
          <w:sz w:val="22"/>
          <w:szCs w:val="22"/>
        </w:rPr>
        <w:t xml:space="preserve">•  </w:t>
      </w:r>
      <w:r>
        <w:rPr>
          <w:color w:val="222222"/>
          <w:sz w:val="22"/>
          <w:szCs w:val="22"/>
        </w:rPr>
        <w:t xml:space="preserve">Hipervínculo a otro plano: el visor avisa a APEX con postMessage openPlano → APEX abre el plano destino.</w:t>
      </w:r>
    </w:p>
    <w:p>
      <w:pPr>
        <w:spacing w:after="40"/>
        <w:ind w:left="360" w:hanging="220"/>
      </w:pPr>
      <w:r>
        <w:rPr>
          <w:b/>
          <w:color w:val="F97316"/>
          <w:sz w:val="22"/>
          <w:szCs w:val="22"/>
        </w:rPr>
        <w:t xml:space="preserve">•  </w:t>
      </w:r>
      <w:r>
        <w:rPr>
          <w:color w:val="222222"/>
          <w:sz w:val="22"/>
          <w:szCs w:val="22"/>
        </w:rPr>
        <w:t xml:space="preserve">Descargar documento: el visor genera el PNG (con/sin marcas según visibilidad) y lo pasa a APEX por postMessage downloadDoc.</w:t>
      </w:r>
    </w:p>
    <w:p>
      <w:pPr>
        <w:spacing w:before="300" w:after="120"/>
      </w:pPr>
      <w:r>
        <w:rPr>
          <w:b/>
          <w:color w:val="F97316"/>
          <w:sz w:val="32"/>
          <w:szCs w:val="32"/>
        </w:rPr>
        <w:t xml:space="preserve">5. Stack tecnológico</w:t>
      </w:r>
    </w:p>
    <w:p>
      <w:pPr>
        <w:spacing w:before="0" w:after="120"/>
      </w:pPr>
      <w:r>
        <w:rPr>
          <w:color w:val="222222"/>
          <w:sz w:val="22"/>
          <w:szCs w:val="22"/>
        </w:rPr>
        <w:t xml:space="preserve">Vite 5 · TypeScript · Fabric.js 5.3 · PDF.js 3.11 · WebSocket nativo · Node.js (systemd) · nginx · Oracle APEX · ORDS · Oracle Database.</w:t>
      </w:r>
    </w:p>
    <w:sectPr>
      <w:pgSz w:w="12240" w:h="15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