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600"/>
      </w:pPr>
      <w:r>
        <w:t xml:space="preserve"/>
      </w:r>
    </w:p>
    <w:p>
      <w:pPr>
        <w:spacing w:before="0" w:after="80"/>
        <w:jc w:val="center"/>
      </w:pPr>
      <w:r>
        <w:rPr>
          <w:rFonts w:ascii="Arial" w:cs="Arial" w:eastAsia="Arial" w:hAnsi="Arial"/>
          <w:b/>
          <w:bCs/>
          <w:color w:val="1A3A5C"/>
          <w:sz w:val="96"/>
          <w:szCs w:val="96"/>
        </w:rPr>
        <w:t xml:space="preserve">MMS</w:t>
      </w:r>
    </w:p>
    <w:p>
      <w:pPr>
        <w:spacing w:before="0" w:after="120"/>
        <w:jc w:val="center"/>
      </w:pPr>
      <w:r>
        <w:rPr>
          <w:rFonts w:ascii="Arial" w:cs="Arial" w:eastAsia="Arial" w:hAnsi="Arial"/>
          <w:b/>
          <w:bCs/>
          <w:color w:val="1D4ED8"/>
          <w:sz w:val="52"/>
          <w:szCs w:val="52"/>
        </w:rPr>
        <w:t xml:space="preserve">Developer Handbook</w:t>
      </w:r>
    </w:p>
    <w:p>
      <w:pPr>
        <w:spacing w:before="0" w:after="300"/>
        <w:jc w:val="center"/>
      </w:pPr>
      <w:r>
        <w:rPr>
          <w:rFonts w:ascii="Arial" w:cs="Arial" w:eastAsia="Arial" w:hAnsi="Arial"/>
          <w:color w:val="6B7280"/>
          <w:sz w:val="26"/>
          <w:szCs w:val="26"/>
        </w:rPr>
        <w:t xml:space="preserve">Everything a developer needs from day one to first commit</w:t>
      </w:r>
    </w:p>
    <w:p>
      <w:pPr>
        <w:pBdr>
          <w:bottom w:val="single" w:color="1D4ED8" w:sz="8" w:space="1"/>
        </w:pBdr>
        <w:spacing w:before="0" w:after="300"/>
      </w:pPr>
    </w:p>
    <w:p>
      <w:pPr>
        <w:spacing w:before="0" w:after="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Field</w:t>
            </w:r>
          </w:p>
        </w:tc>
        <w:tc>
          <w:tcPr>
            <w:tcW w:type="dxa" w:w="6026"/>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Detail</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Document</w:t>
            </w:r>
          </w:p>
        </w:tc>
        <w:tc>
          <w:tcPr>
            <w:tcW w:type="dxa" w:w="60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MMS Developer Handbook v1.1</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Companion to</w:t>
            </w:r>
          </w:p>
        </w:tc>
        <w:tc>
          <w:tcPr>
            <w:tcW w:type="dxa" w:w="60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MMS Specialist Build Guide v2.1</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Intended audience</w:t>
            </w:r>
          </w:p>
        </w:tc>
        <w:tc>
          <w:tcPr>
            <w:tcW w:type="dxa" w:w="60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Every developer on the MMS build team</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Mandatory reading</w:t>
            </w:r>
          </w:p>
        </w:tc>
        <w:tc>
          <w:tcPr>
            <w:tcW w:type="dxa" w:w="60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Yes — read before writing any code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Date</w:t>
            </w:r>
          </w:p>
        </w:tc>
        <w:tc>
          <w:tcPr>
            <w:tcW w:type="dxa" w:w="60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19 March 2026 | Updated: 29 March 2026</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Owner</w:t>
            </w:r>
          </w:p>
        </w:tc>
        <w:tc>
          <w:tcPr>
            <w:tcW w:type="dxa" w:w="60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Technical Lead / CTO</w:t>
            </w:r>
          </w:p>
        </w:tc>
      </w:tr>
    </w:tbl>
    <w:p>
      <w:pPr>
        <w:spacing w:before="0" w:after="0"/>
      </w:pPr>
      <w:r>
        <w:br w:type="page"/>
      </w:r>
    </w:p>
    <w:p>
      <w:pPr>
        <w:pStyle w:val="Heading1"/>
        <w:pBdr>
          <w:bottom w:val="single" w:color="1D4ED8" w:sz="12" w:space="6"/>
        </w:pBdr>
        <w:spacing w:before="480" w:after="160"/>
      </w:pPr>
      <w:r>
        <w:rPr>
          <w:rFonts w:ascii="Arial" w:cs="Arial" w:eastAsia="Arial" w:hAnsi="Arial"/>
          <w:b/>
          <w:bCs/>
          <w:color w:val="1A3A5C"/>
          <w:sz w:val="40"/>
          <w:szCs w:val="40"/>
        </w:rPr>
        <w:t xml:space="preserve">Purpose of this Handbook</w:t>
      </w:r>
    </w:p>
    <w:p>
      <w:pPr>
        <w:spacing w:before="60" w:after="100"/>
        <w:jc w:val="left"/>
      </w:pPr>
      <w:r>
        <w:rPr>
          <w:rFonts w:ascii="Arial" w:cs="Arial" w:eastAsia="Arial" w:hAnsi="Arial"/>
          <w:b w:val="false"/>
          <w:bCs w:val="false"/>
          <w:i w:val="false"/>
          <w:iCs w:val="false"/>
          <w:color w:val="374151"/>
          <w:sz w:val="22"/>
          <w:szCs w:val="22"/>
        </w:rPr>
        <w:t xml:space="preserve">The MMS Specialist Build Guide tells you what to build and why. This handbook tells you how the team works, how to set up your environment, how code moves from your laptop to production, and what every developer is expected to do every single day. Read this document completely before writing your first line of code. It will save you days of confusion.</w:t>
      </w:r>
    </w:p>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1B1B" w:sz="6"/>
              <w:left w:val="single" w:color="991B1B" w:sz="16"/>
              <w:bottom w:val="single" w:color="991B1B" w:sz="2"/>
              <w:right w:val="single" w:color="991B1B" w:sz="2"/>
            </w:tcBorders>
            <w:shd w:fill="FEF2F2" w:val="clear"/>
            <w:tcMar>
              <w:top w:type="dxa" w:w="120"/>
              <w:left w:type="dxa" w:w="200"/>
              <w:bottom w:type="dxa" w:w="120"/>
              <w:right w:type="dxa" w:w="160"/>
            </w:tcMar>
          </w:tcPr>
          <w:p>
            <w:pPr>
              <w:spacing w:before="0" w:after="0"/>
            </w:pPr>
            <w:r>
              <w:rPr>
                <w:rFonts w:ascii="Arial" w:cs="Arial" w:eastAsia="Arial" w:hAnsi="Arial"/>
                <w:color w:val="991B1B"/>
                <w:sz w:val="21"/>
                <w:szCs w:val="21"/>
              </w:rPr>
              <w:t xml:space="preserve">Non-negotiable: Every rule in this handbook applies to every developer without exception. MMS handles real money. There is no 'I'll fix it later' on a financial system. The rules exist because the consequences of breaking them are financial, legal, or reputational.</w:t>
            </w:r>
          </w:p>
        </w:tc>
      </w:tr>
    </w:tbl>
    <w:p>
      <w:pPr>
        <w:spacing w:before="0" w:after="0"/>
      </w:pPr>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3A5C" w:val="clear"/>
            <w:tcMar>
              <w:top w:type="dxa" w:w="120"/>
              <w:left w:type="dxa" w:w="240"/>
              <w:bottom w:type="dxa" w:w="120"/>
              <w:right w:type="dxa" w:w="160"/>
            </w:tcMar>
          </w:tcPr>
          <w:p>
            <w:pPr>
              <w:spacing w:before="0" w:after="0"/>
            </w:pPr>
            <w:r>
              <w:rPr>
                <w:rFonts w:ascii="Arial" w:cs="Arial" w:eastAsia="Arial" w:hAnsi="Arial"/>
                <w:b/>
                <w:bCs/>
                <w:color w:val="FFFFFF"/>
                <w:sz w:val="24"/>
                <w:szCs w:val="24"/>
              </w:rPr>
              <w:t xml:space="preserve">Section 1 — Day One Setup: From Zero to Running Local Environment</w:t>
            </w:r>
          </w:p>
        </w:tc>
      </w:tr>
    </w:tbl>
    <w:p>
      <w:pPr>
        <w:spacing w:before="0" w:after="160"/>
      </w:pPr>
      <w:r>
        <w:t xml:space="preserve"/>
      </w:r>
    </w:p>
    <w:p>
      <w:pPr>
        <w:spacing w:before="60" w:after="100"/>
        <w:jc w:val="left"/>
      </w:pPr>
      <w:r>
        <w:rPr>
          <w:rFonts w:ascii="Arial" w:cs="Arial" w:eastAsia="Arial" w:hAnsi="Arial"/>
          <w:b w:val="false"/>
          <w:bCs w:val="false"/>
          <w:i w:val="false"/>
          <w:iCs w:val="false"/>
          <w:color w:val="374151"/>
          <w:sz w:val="22"/>
          <w:szCs w:val="22"/>
        </w:rPr>
        <w:t xml:space="preserve">Follow these steps in exact order. Do not skip any step. Each one is a dependency for the next. Expected time for a developer with a clean machine: 3–4 hours.</w:t>
      </w:r>
    </w:p>
    <w:p>
      <w:pPr>
        <w:spacing w:before="0" w:after="140"/>
      </w:pPr>
      <w:r>
        <w:t xml:space="preserve"/>
      </w:r>
    </w:p>
    <w:p>
      <w:pPr>
        <w:pStyle w:val="Heading2"/>
        <w:pBdr>
          <w:bottom w:val="single" w:color="D1D5DB" w:sz="4" w:space="4"/>
        </w:pBdr>
        <w:spacing w:before="320" w:after="120"/>
      </w:pPr>
      <w:r>
        <w:rPr>
          <w:rFonts w:ascii="Arial" w:cs="Arial" w:eastAsia="Arial" w:hAnsi="Arial"/>
          <w:b/>
          <w:bCs/>
          <w:color w:val="1A3A5C"/>
          <w:sz w:val="28"/>
          <w:szCs w:val="28"/>
        </w:rPr>
        <w:t xml:space="preserve">Step 1.1 — Install Required Tools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3200"/>
        <w:gridCol w:w="2426"/>
      </w:tblGrid>
      <w:tr>
        <w:tc>
          <w:tcPr>
            <w:tcW w:type="dxa" w:w="22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Tool</w:t>
            </w:r>
          </w:p>
        </w:tc>
        <w:tc>
          <w:tcPr>
            <w:tcW w:type="dxa" w:w="12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Version</w:t>
            </w:r>
          </w:p>
        </w:tc>
        <w:tc>
          <w:tcPr>
            <w:tcW w:type="dxa" w:w="32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Install command / URL</w:t>
            </w:r>
          </w:p>
        </w:tc>
        <w:tc>
          <w:tcPr>
            <w:tcW w:type="dxa" w:w="2426"/>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Verify with</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Node.js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20 LTS</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nvm install 20 (install nvm first from nvm.sh)</w:t>
            </w:r>
          </w:p>
        </w:tc>
        <w:tc>
          <w:tcPr>
            <w:tcW w:type="dxa" w:w="24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node --version → v20.x.x</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npm</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10+</w:t>
            </w:r>
          </w:p>
        </w:tc>
        <w:tc>
          <w:tcPr>
            <w:tcW w:type="dxa" w:w="3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Comes with Node.js</w:t>
            </w:r>
          </w:p>
        </w:tc>
        <w:tc>
          <w:tcPr>
            <w:tcW w:type="dxa" w:w="24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npm --version → 10.x.x</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Git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Latest</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git-scm.com</w:t>
            </w:r>
          </w:p>
        </w:tc>
        <w:tc>
          <w:tcPr>
            <w:tcW w:type="dxa" w:w="24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git --version</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Docker Desktop</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Latest</w:t>
            </w:r>
          </w:p>
        </w:tc>
        <w:tc>
          <w:tcPr>
            <w:tcW w:type="dxa" w:w="3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docker.com/products/docker-desktop</w:t>
            </w:r>
          </w:p>
        </w:tc>
        <w:tc>
          <w:tcPr>
            <w:tcW w:type="dxa" w:w="24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docker ps (no error)</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VS Code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Latest</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code.visualstudio.com</w:t>
            </w:r>
          </w:p>
        </w:tc>
        <w:tc>
          <w:tcPr>
            <w:tcW w:type="dxa" w:w="24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code --version</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Postman</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Latest</w:t>
            </w:r>
          </w:p>
        </w:tc>
        <w:tc>
          <w:tcPr>
            <w:tcW w:type="dxa" w:w="3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postman.com</w:t>
            </w:r>
          </w:p>
        </w:tc>
        <w:tc>
          <w:tcPr>
            <w:tcW w:type="dxa" w:w="24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Open and sign in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pgAdmin 4</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Latest</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pgadmin.org</w:t>
            </w:r>
          </w:p>
        </w:tc>
        <w:tc>
          <w:tcPr>
            <w:tcW w:type="dxa" w:w="24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Open and confirm connection to localhost:5432</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Claude Code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Latest</w:t>
            </w:r>
          </w:p>
        </w:tc>
        <w:tc>
          <w:tcPr>
            <w:tcW w:type="dxa" w:w="3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npm install -g @anthropic-ai/claude-code</w:t>
            </w:r>
          </w:p>
        </w:tc>
        <w:tc>
          <w:tcPr>
            <w:tcW w:type="dxa" w:w="24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claude --version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OWASP ZAP</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Latest</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zaproxy.org</w:t>
            </w:r>
          </w:p>
        </w:tc>
        <w:tc>
          <w:tcPr>
            <w:tcW w:type="dxa" w:w="24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Open ZAP UI successfully</w:t>
            </w:r>
          </w:p>
        </w:tc>
      </w:tr>
    </w:tbl>
    <w:p>
      <w:pPr>
        <w:spacing w:before="0" w:after="140"/>
      </w:pPr>
      <w:r>
        <w:t xml:space="preserve"/>
      </w:r>
    </w:p>
    <w:p>
      <w:pPr>
        <w:pStyle w:val="Heading2"/>
        <w:pBdr>
          <w:bottom w:val="single" w:color="D1D5DB" w:sz="4" w:space="4"/>
        </w:pBdr>
        <w:spacing w:before="320" w:after="120"/>
      </w:pPr>
      <w:r>
        <w:rPr>
          <w:rFonts w:ascii="Arial" w:cs="Arial" w:eastAsia="Arial" w:hAnsi="Arial"/>
          <w:b/>
          <w:bCs/>
          <w:color w:val="1A3A5C"/>
          <w:sz w:val="28"/>
          <w:szCs w:val="28"/>
        </w:rPr>
        <w:t xml:space="preserve">Step 1.2 — Install VS Code Extensions (Mandatory)</w:t>
      </w:r>
    </w:p>
    <w:p>
      <w:pPr>
        <w:spacing w:before="60" w:after="100"/>
        <w:jc w:val="left"/>
      </w:pPr>
      <w:r>
        <w:rPr>
          <w:rFonts w:ascii="Arial" w:cs="Arial" w:eastAsia="Arial" w:hAnsi="Arial"/>
          <w:b w:val="false"/>
          <w:bCs w:val="false"/>
          <w:i w:val="false"/>
          <w:iCs w:val="false"/>
          <w:color w:val="374151"/>
          <w:sz w:val="22"/>
          <w:szCs w:val="22"/>
        </w:rPr>
        <w:t xml:space="preserve">Open VS Code. Press Ctrl+Shift+X (Windows/Linux) or Cmd+Shift+X (Mac). Search and install each extension below.</w:t>
      </w:r>
    </w:p>
    <w:p>
      <w:pPr>
        <w:spacing w:before="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626"/>
      </w:tblGrid>
      <w:tr>
        <w:tc>
          <w:tcPr>
            <w:tcW w:type="dxa" w:w="28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Extension name</w:t>
            </w:r>
          </w:p>
        </w:tc>
        <w:tc>
          <w:tcPr>
            <w:tcW w:type="dxa" w:w="26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Extension ID</w:t>
            </w:r>
          </w:p>
        </w:tc>
        <w:tc>
          <w:tcPr>
            <w:tcW w:type="dxa" w:w="3626"/>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Purpose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ESLint</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dbaeumer.vscode-eslint</w:t>
            </w:r>
          </w:p>
        </w:tc>
        <w:tc>
          <w:tcPr>
            <w:tcW w:type="dxa" w:w="36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Flags code quality issues as you type</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Prettier</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esbenp.prettier-vscode</w:t>
            </w:r>
          </w:p>
        </w:tc>
        <w:tc>
          <w:tcPr>
            <w:tcW w:type="dxa" w:w="36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Auto-formats code on save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GitLens</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eamodio.gitlens</w:t>
            </w:r>
          </w:p>
        </w:tc>
        <w:tc>
          <w:tcPr>
            <w:tcW w:type="dxa" w:w="36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Shows who wrote every line and why</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REST Client</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humao.rest-client</w:t>
            </w:r>
          </w:p>
        </w:tc>
        <w:tc>
          <w:tcPr>
            <w:tcW w:type="dxa" w:w="36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Test API endpoints from .http files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Docker</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ms-azuretools.vscode-docker</w:t>
            </w:r>
          </w:p>
        </w:tc>
        <w:tc>
          <w:tcPr>
            <w:tcW w:type="dxa" w:w="36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Manage containers from VS Code</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PostgreSQL</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ckolkman.vscode-postgres</w:t>
            </w:r>
          </w:p>
        </w:tc>
        <w:tc>
          <w:tcPr>
            <w:tcW w:type="dxa" w:w="36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Query database from VS Code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Error Lens</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usernamehere.errorlens</w:t>
            </w:r>
          </w:p>
        </w:tc>
        <w:tc>
          <w:tcPr>
            <w:tcW w:type="dxa" w:w="36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Shows errors inline — not just in the Problems panel</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Todo Tree</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gruntfuggly.todo-tree</w:t>
            </w:r>
          </w:p>
        </w:tc>
        <w:tc>
          <w:tcPr>
            <w:tcW w:type="dxa" w:w="36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Tracks TODO and FIXME comments across the codebase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Thunder Client</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rangav.vscode-thunder-client</w:t>
            </w:r>
          </w:p>
        </w:tc>
        <w:tc>
          <w:tcPr>
            <w:tcW w:type="dxa" w:w="36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Lightweight Postman alternative built into VS Code</w:t>
            </w:r>
          </w:p>
        </w:tc>
      </w:tr>
    </w:tbl>
    <w:p>
      <w:pPr>
        <w:spacing w:before="0" w:after="140"/>
      </w:pPr>
      <w:r>
        <w:t xml:space="preserve"/>
      </w:r>
    </w:p>
    <w:p>
      <w:pPr>
        <w:pStyle w:val="Heading2"/>
        <w:pBdr>
          <w:bottom w:val="single" w:color="D1D5DB" w:sz="4" w:space="4"/>
        </w:pBdr>
        <w:spacing w:before="320" w:after="120"/>
      </w:pPr>
      <w:r>
        <w:rPr>
          <w:rFonts w:ascii="Arial" w:cs="Arial" w:eastAsia="Arial" w:hAnsi="Arial"/>
          <w:b/>
          <w:bCs/>
          <w:color w:val="1A3A5C"/>
          <w:sz w:val="28"/>
          <w:szCs w:val="28"/>
        </w:rPr>
        <w:t xml:space="preserve">Step 1.3 — Clone the Repository and Initial Setup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293B" w:sz="2"/>
              <w:left w:val="single" w:color="1E293B" w:sz="2"/>
              <w:bottom w:val="single" w:color="1E293B" w:sz="2"/>
              <w:right w:val="single" w:color="1E293B" w:sz="2"/>
            </w:tcBorders>
            <w:shd w:fill="0F172A" w:val="clear"/>
            <w:tcMar>
              <w:top w:type="dxa" w:w="60"/>
              <w:left w:type="dxa" w:w="200"/>
              <w:bottom w:type="dxa" w:w="0"/>
              <w:right w:type="dxa" w:w="160"/>
            </w:tcMar>
          </w:tcPr>
          <w:p>
            <w:pPr>
              <w:spacing w:before="0" w:after="0"/>
            </w:pPr>
            <w:r>
              <w:rPr>
                <w:rFonts w:ascii="Courier New" w:cs="Courier New" w:eastAsia="Courier New" w:hAnsi="Courier New"/>
                <w:color w:val="64748B"/>
                <w:sz w:val="16"/>
                <w:szCs w:val="16"/>
              </w:rPr>
              <w:t xml:space="preserve"/>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1. Clone the repository</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git clone https://github.com/[org]/mms-platform.git</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cd mms-platform</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2. Install all dependencies</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npm install</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3. Copy environment variables template</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cp .env.example .env.local</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 STOP: Fill in your local values before continuing !!</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Open .env.local and set at minimum: DATABASE_URL, JWT_SECRET, REDIS_URL</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4. Start Docker containers (PostgreSQL + Redis)</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docker-compose up -d</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5. Wait 10 seconds for PostgreSQL to be ready, then run migrations</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sleep 10 &amp;&amp; npm run db:migrate</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6. Seed development data (test users, sample buyer, sample supplier)</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npm run db:seed</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7. Start the development server</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npm run dev</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8. Verify everything is working</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curl http://localhost:3000/health</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Expected: {"status":"ok","database":"connected","redis":"connected"}</w:t>
            </w:r>
          </w:p>
        </w:tc>
      </w:tr>
      <w:tr>
        <w:tc>
          <w:tcPr>
            <w:tcW w:type="dxa" w:w="9026"/>
            <w:tcBorders>
              <w:top w:val="single" w:color="1E293B" w:sz="2"/>
              <w:left w:val="single" w:color="1E293B" w:sz="2"/>
              <w:bottom w:val="single" w:color="1E293B" w:sz="2"/>
              <w:right w:val="single" w:color="1E293B" w:sz="2"/>
            </w:tcBorders>
            <w:shd w:fill="0F172A" w:val="clear"/>
            <w:tcMar>
              <w:top w:type="dxa" w:w="0"/>
              <w:left w:type="dxa" w:w="200"/>
              <w:bottom w:type="dxa" w:w="60"/>
              <w:right w:type="dxa" w:w="160"/>
            </w:tcMar>
          </w:tcPr>
          <w:p>
            <w:pPr>
              <w:spacing w:before="0" w:after="0"/>
            </w:pPr>
            <w:r>
              <w:rPr>
                <w:rFonts w:ascii="Courier New" w:cs="Courier New" w:eastAsia="Courier New" w:hAnsi="Courier New"/>
                <w:sz w:val="16"/>
                <w:szCs w:val="16"/>
              </w:rPr>
              <w:t xml:space="preserve"/>
            </w:r>
          </w:p>
        </w:tc>
      </w:tr>
    </w:tbl>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F6E56" w:sz="6"/>
              <w:left w:val="single" w:color="0F6E56" w:sz="16"/>
              <w:bottom w:val="single" w:color="0F6E56" w:sz="2"/>
              <w:right w:val="single" w:color="0F6E56" w:sz="2"/>
            </w:tcBorders>
            <w:shd w:fill="ECFDF5" w:val="clear"/>
            <w:tcMar>
              <w:top w:type="dxa" w:w="120"/>
              <w:left w:type="dxa" w:w="200"/>
              <w:bottom w:type="dxa" w:w="120"/>
              <w:right w:type="dxa" w:w="160"/>
            </w:tcMar>
          </w:tcPr>
          <w:p>
            <w:pPr>
              <w:spacing w:before="0" w:after="0"/>
            </w:pPr>
            <w:r>
              <w:rPr>
                <w:rFonts w:ascii="Arial" w:cs="Arial" w:eastAsia="Arial" w:hAnsi="Arial"/>
                <w:color w:val="0F6E56"/>
                <w:sz w:val="21"/>
                <w:szCs w:val="21"/>
              </w:rPr>
              <w:t xml:space="preserve">If you see {"status":"ok","database":"connected","redis":"connected"} — your environment is ready. If not, check the troubleshooting section at the end of this handbook.</w:t>
            </w:r>
          </w:p>
        </w:tc>
      </w:tr>
    </w:tbl>
    <w:p>
      <w:pPr>
        <w:spacing w:before="0" w:after="140"/>
      </w:pPr>
      <w:r>
        <w:t xml:space="preserve"/>
      </w:r>
    </w:p>
    <w:p>
      <w:pPr>
        <w:pStyle w:val="Heading2"/>
        <w:pBdr>
          <w:bottom w:val="single" w:color="D1D5DB" w:sz="4" w:space="4"/>
        </w:pBdr>
        <w:spacing w:before="320" w:after="120"/>
      </w:pPr>
      <w:r>
        <w:rPr>
          <w:rFonts w:ascii="Arial" w:cs="Arial" w:eastAsia="Arial" w:hAnsi="Arial"/>
          <w:b/>
          <w:bCs/>
          <w:color w:val="1A3A5C"/>
          <w:sz w:val="28"/>
          <w:szCs w:val="28"/>
        </w:rPr>
        <w:t xml:space="preserve">Step 1.4 — Configure Your Git Identity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293B" w:sz="2"/>
              <w:left w:val="single" w:color="1E293B" w:sz="2"/>
              <w:bottom w:val="single" w:color="1E293B" w:sz="2"/>
              <w:right w:val="single" w:color="1E293B" w:sz="2"/>
            </w:tcBorders>
            <w:shd w:fill="0F172A" w:val="clear"/>
            <w:tcMar>
              <w:top w:type="dxa" w:w="60"/>
              <w:left w:type="dxa" w:w="200"/>
              <w:bottom w:type="dxa" w:w="0"/>
              <w:right w:type="dxa" w:w="160"/>
            </w:tcMar>
          </w:tcPr>
          <w:p>
            <w:pPr>
              <w:spacing w:before="0" w:after="0"/>
            </w:pPr>
            <w:r>
              <w:rPr>
                <w:rFonts w:ascii="Courier New" w:cs="Courier New" w:eastAsia="Courier New" w:hAnsi="Courier New"/>
                <w:color w:val="64748B"/>
                <w:sz w:val="16"/>
                <w:szCs w:val="16"/>
              </w:rPr>
              <w:t xml:space="preserve"/>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Set your name and email — these appear in every commit you make</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git config --global user.name "Your Full Name"</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git config --global user.email "your.email@company.com"</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Verify</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git config --global user.name</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git config --global user.email</w:t>
            </w:r>
          </w:p>
        </w:tc>
      </w:tr>
      <w:tr>
        <w:tc>
          <w:tcPr>
            <w:tcW w:type="dxa" w:w="9026"/>
            <w:tcBorders>
              <w:top w:val="single" w:color="1E293B" w:sz="2"/>
              <w:left w:val="single" w:color="1E293B" w:sz="2"/>
              <w:bottom w:val="single" w:color="1E293B" w:sz="2"/>
              <w:right w:val="single" w:color="1E293B" w:sz="2"/>
            </w:tcBorders>
            <w:shd w:fill="0F172A" w:val="clear"/>
            <w:tcMar>
              <w:top w:type="dxa" w:w="0"/>
              <w:left w:type="dxa" w:w="200"/>
              <w:bottom w:type="dxa" w:w="60"/>
              <w:right w:type="dxa" w:w="160"/>
            </w:tcMar>
          </w:tcPr>
          <w:p>
            <w:pPr>
              <w:spacing w:before="0" w:after="0"/>
            </w:pPr>
            <w:r>
              <w:rPr>
                <w:rFonts w:ascii="Courier New" w:cs="Courier New" w:eastAsia="Courier New" w:hAnsi="Courier New"/>
                <w:sz w:val="16"/>
                <w:szCs w:val="16"/>
              </w:rPr>
              <w:t xml:space="preserve"/>
            </w:r>
          </w:p>
        </w:tc>
      </w:tr>
    </w:tbl>
    <w:p>
      <w:pPr>
        <w:spacing w:before="0" w:after="140"/>
      </w:pPr>
      <w:r>
        <w:t xml:space="preserve"/>
      </w:r>
    </w:p>
    <w:p>
      <w:pPr>
        <w:pStyle w:val="Heading2"/>
        <w:pBdr>
          <w:bottom w:val="single" w:color="D1D5DB" w:sz="4" w:space="4"/>
        </w:pBdr>
        <w:spacing w:before="320" w:after="120"/>
      </w:pPr>
      <w:r>
        <w:rPr>
          <w:rFonts w:ascii="Arial" w:cs="Arial" w:eastAsia="Arial" w:hAnsi="Arial"/>
          <w:b/>
          <w:bCs/>
          <w:color w:val="1A3A5C"/>
          <w:sz w:val="28"/>
          <w:szCs w:val="28"/>
        </w:rPr>
        <w:t xml:space="preserve">Step 1.5 — Import the API Collection into Postman</w:t>
      </w:r>
    </w:p>
    <w:p>
      <w:pPr>
        <w:pStyle w:val="ListParagraph"/>
        <w:numPr>
          <w:ilvl w:val="0"/>
          <w:numId w:val="2"/>
        </w:numPr>
        <w:spacing w:before="40" w:after="80"/>
      </w:pPr>
      <w:r>
        <w:rPr>
          <w:rFonts w:ascii="Arial" w:cs="Arial" w:eastAsia="Arial" w:hAnsi="Arial"/>
          <w:color w:val="374151"/>
          <w:sz w:val="22"/>
          <w:szCs w:val="22"/>
        </w:rPr>
        <w:t xml:space="preserve">Open Postman</w:t>
      </w:r>
    </w:p>
    <w:p>
      <w:pPr>
        <w:pStyle w:val="ListParagraph"/>
        <w:numPr>
          <w:ilvl w:val="0"/>
          <w:numId w:val="2"/>
        </w:numPr>
        <w:spacing w:before="40" w:after="80"/>
      </w:pPr>
      <w:r>
        <w:rPr>
          <w:rFonts w:ascii="Arial" w:cs="Arial" w:eastAsia="Arial" w:hAnsi="Arial"/>
          <w:color w:val="374151"/>
          <w:sz w:val="22"/>
          <w:szCs w:val="22"/>
        </w:rPr>
        <w:t xml:space="preserve">Click Import in the top left</w:t>
      </w:r>
    </w:p>
    <w:p>
      <w:pPr>
        <w:pStyle w:val="ListParagraph"/>
        <w:numPr>
          <w:ilvl w:val="0"/>
          <w:numId w:val="2"/>
        </w:numPr>
        <w:spacing w:before="40" w:after="80"/>
      </w:pPr>
      <w:r>
        <w:rPr>
          <w:rFonts w:ascii="Arial" w:cs="Arial" w:eastAsia="Arial" w:hAnsi="Arial"/>
          <w:color w:val="374151"/>
          <w:sz w:val="22"/>
          <w:szCs w:val="22"/>
        </w:rPr>
        <w:t xml:space="preserve">Select File and navigate to /docs/api/openapi.yaml in the project folder</w:t>
      </w:r>
    </w:p>
    <w:p>
      <w:pPr>
        <w:pStyle w:val="ListParagraph"/>
        <w:numPr>
          <w:ilvl w:val="0"/>
          <w:numId w:val="2"/>
        </w:numPr>
        <w:spacing w:before="40" w:after="80"/>
      </w:pPr>
      <w:r>
        <w:rPr>
          <w:rFonts w:ascii="Arial" w:cs="Arial" w:eastAsia="Arial" w:hAnsi="Arial"/>
          <w:color w:val="374151"/>
          <w:sz w:val="22"/>
          <w:szCs w:val="22"/>
        </w:rPr>
        <w:t xml:space="preserve">Postman creates a collection called MMS API with all endpoints ready to test</w:t>
      </w:r>
    </w:p>
    <w:p>
      <w:pPr>
        <w:pStyle w:val="ListParagraph"/>
        <w:numPr>
          <w:ilvl w:val="0"/>
          <w:numId w:val="2"/>
        </w:numPr>
        <w:spacing w:before="40" w:after="80"/>
      </w:pPr>
      <w:r>
        <w:rPr>
          <w:rFonts w:ascii="Arial" w:cs="Arial" w:eastAsia="Arial" w:hAnsi="Arial"/>
          <w:color w:val="374151"/>
          <w:sz w:val="22"/>
          <w:szCs w:val="22"/>
        </w:rPr>
        <w:t xml:space="preserve">Create an environment called MMS Local with variable base_url = http://localhost:3000</w:t>
      </w:r>
    </w:p>
    <w:p>
      <w:pPr>
        <w:pStyle w:val="ListParagraph"/>
        <w:numPr>
          <w:ilvl w:val="0"/>
          <w:numId w:val="2"/>
        </w:numPr>
        <w:spacing w:before="40" w:after="80"/>
      </w:pPr>
      <w:r>
        <w:rPr>
          <w:rFonts w:ascii="Arial" w:cs="Arial" w:eastAsia="Arial" w:hAnsi="Arial"/>
          <w:color w:val="374151"/>
          <w:sz w:val="22"/>
          <w:szCs w:val="22"/>
        </w:rPr>
        <w:t xml:space="preserve">Verify by running POST {{base_url}}/auth/login — you should get a 401 (correct — no credentials yet)</w:t>
      </w:r>
    </w:p>
    <w:p>
      <w:pPr>
        <w:spacing w:before="0" w:after="140"/>
      </w:pPr>
      <w:r>
        <w:t xml:space="preserve"/>
      </w:r>
    </w:p>
    <w:p>
      <w:pPr>
        <w:pStyle w:val="Heading2"/>
        <w:pBdr>
          <w:bottom w:val="single" w:color="D1D5DB" w:sz="4" w:space="4"/>
        </w:pBdr>
        <w:spacing w:before="320" w:after="120"/>
      </w:pPr>
      <w:r>
        <w:rPr>
          <w:rFonts w:ascii="Arial" w:cs="Arial" w:eastAsia="Arial" w:hAnsi="Arial"/>
          <w:b/>
          <w:bCs/>
          <w:color w:val="1A3A5C"/>
          <w:sz w:val="28"/>
          <w:szCs w:val="28"/>
        </w:rPr>
        <w:t xml:space="preserve">Step 1.6 — Request Access to Sandbox Credentials</w:t>
      </w:r>
    </w:p>
    <w:p>
      <w:pPr>
        <w:spacing w:before="60" w:after="100"/>
        <w:jc w:val="left"/>
      </w:pPr>
      <w:r>
        <w:rPr>
          <w:rFonts w:ascii="Arial" w:cs="Arial" w:eastAsia="Arial" w:hAnsi="Arial"/>
          <w:b w:val="false"/>
          <w:bCs w:val="false"/>
          <w:i w:val="false"/>
          <w:iCs w:val="false"/>
          <w:color w:val="374151"/>
          <w:sz w:val="22"/>
          <w:szCs w:val="22"/>
        </w:rPr>
        <w:t xml:space="preserve">You need sandbox credentials for the payment providers. Submit a request to the Technical Lead on your first day. Do not proceed to build Modules 8–9 until these are in your .env.local file.</w:t>
      </w:r>
    </w:p>
    <w:p>
      <w:pPr>
        <w:spacing w:before="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400"/>
        <w:gridCol w:w="1626"/>
      </w:tblGrid>
      <w:tr>
        <w:tc>
          <w:tcPr>
            <w:tcW w:type="dxa" w:w="26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Credential</w:t>
            </w:r>
          </w:p>
        </w:tc>
        <w:tc>
          <w:tcPr>
            <w:tcW w:type="dxa" w:w="24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Who provides it</w:t>
            </w:r>
          </w:p>
        </w:tc>
        <w:tc>
          <w:tcPr>
            <w:tcW w:type="dxa" w:w="24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Where it goes in .env.local</w:t>
            </w:r>
          </w:p>
        </w:tc>
        <w:tc>
          <w:tcPr>
            <w:tcW w:type="dxa" w:w="1626"/>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Required by</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MTN MoMo Sandbox API Key</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Technical Lead (from MTN portal)</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MTN_MOMO_API_KEY</w:t>
            </w:r>
          </w:p>
        </w:tc>
        <w:tc>
          <w:tcPr>
            <w:tcW w:type="dxa" w:w="16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Module 8</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MTN MoMo Sandbox User ID</w:t>
            </w:r>
          </w:p>
        </w:tc>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Technical Lead</w:t>
            </w:r>
          </w:p>
        </w:tc>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MTN_MOMO_USER_ID</w:t>
            </w:r>
          </w:p>
        </w:tc>
        <w:tc>
          <w:tcPr>
            <w:tcW w:type="dxa" w:w="16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Module 8</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Airtel Money Sandbox Key</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Technical Lead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AIRTEL_CLIENT_ID, AIRTEL_CLIENT_SECRET</w:t>
            </w:r>
          </w:p>
        </w:tc>
        <w:tc>
          <w:tcPr>
            <w:tcW w:type="dxa" w:w="16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Module 8</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SendGrid API Key (email)</w:t>
            </w:r>
          </w:p>
        </w:tc>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Technical Lead</w:t>
            </w:r>
          </w:p>
        </w:tc>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SENDGRID_API_KEY</w:t>
            </w:r>
          </w:p>
        </w:tc>
        <w:tc>
          <w:tcPr>
            <w:tcW w:type="dxa" w:w="16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Module 2 (notifications)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Africa's Talking (SMS)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Technical Lead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AT_API_KEY, AT_USERNAME</w:t>
            </w:r>
          </w:p>
        </w:tc>
        <w:tc>
          <w:tcPr>
            <w:tcW w:type="dxa" w:w="16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Module 9 (collections reminders + Module 8b collateral alerts)</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Encryption key (AES-256)</w:t>
            </w:r>
          </w:p>
        </w:tc>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Technical Lead (generated)</w:t>
            </w:r>
          </w:p>
        </w:tc>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ENCRYPTION_KEY</w:t>
            </w:r>
          </w:p>
        </w:tc>
        <w:tc>
          <w:tcPr>
            <w:tcW w:type="dxa" w:w="16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Module 2 (doc storage)</w:t>
            </w:r>
          </w:p>
        </w:tc>
      </w:tr>
    </w:tbl>
    <w:p>
      <w:pPr>
        <w:spacing w:before="0" w:after="0"/>
      </w:pPr>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3A5C" w:val="clear"/>
            <w:tcMar>
              <w:top w:type="dxa" w:w="120"/>
              <w:left w:type="dxa" w:w="240"/>
              <w:bottom w:type="dxa" w:w="120"/>
              <w:right w:type="dxa" w:w="160"/>
            </w:tcMar>
          </w:tcPr>
          <w:p>
            <w:pPr>
              <w:spacing w:before="0" w:after="0"/>
            </w:pPr>
            <w:r>
              <w:rPr>
                <w:rFonts w:ascii="Arial" w:cs="Arial" w:eastAsia="Arial" w:hAnsi="Arial"/>
                <w:b/>
                <w:bCs/>
                <w:color w:val="FFFFFF"/>
                <w:sz w:val="24"/>
                <w:szCs w:val="24"/>
              </w:rPr>
              <w:t xml:space="preserve">Section 2 — Project Structure: Where Everything Lives</w:t>
            </w:r>
          </w:p>
        </w:tc>
      </w:tr>
    </w:tbl>
    <w:p>
      <w:pPr>
        <w:spacing w:before="0" w:after="160"/>
      </w:pPr>
      <w:r>
        <w:t xml:space="preserve"/>
      </w:r>
    </w:p>
    <w:p>
      <w:pPr>
        <w:spacing w:before="60" w:after="100"/>
        <w:jc w:val="left"/>
      </w:pPr>
      <w:r>
        <w:rPr>
          <w:rFonts w:ascii="Arial" w:cs="Arial" w:eastAsia="Arial" w:hAnsi="Arial"/>
          <w:b w:val="false"/>
          <w:bCs w:val="false"/>
          <w:i w:val="false"/>
          <w:iCs w:val="false"/>
          <w:color w:val="374151"/>
          <w:sz w:val="22"/>
          <w:szCs w:val="22"/>
        </w:rPr>
        <w:t xml:space="preserve">Every file in this project has a designated home. Putting files in the wrong place causes confusion, breaks imports, and makes code reviews harder. Learn this structure before writing any code.</w:t>
      </w:r>
    </w:p>
    <w:p>
      <w:pPr>
        <w:spacing w:before="0" w:after="140"/>
      </w:pPr>
      <w:r>
        <w:t xml:space="preserve"/>
      </w:r>
    </w:p>
    <w:p>
      <w:pPr>
        <w:pStyle w:val="Heading2"/>
        <w:pBdr>
          <w:bottom w:val="single" w:color="D1D5DB" w:sz="4" w:space="4"/>
        </w:pBdr>
        <w:spacing w:before="320" w:after="120"/>
      </w:pPr>
      <w:r>
        <w:rPr>
          <w:rFonts w:ascii="Arial" w:cs="Arial" w:eastAsia="Arial" w:hAnsi="Arial"/>
          <w:b/>
          <w:bCs/>
          <w:color w:val="1A3A5C"/>
          <w:sz w:val="28"/>
          <w:szCs w:val="28"/>
        </w:rPr>
        <w:t xml:space="preserve">Directory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293B" w:sz="2"/>
              <w:left w:val="single" w:color="1E293B" w:sz="2"/>
              <w:bottom w:val="single" w:color="1E293B" w:sz="2"/>
              <w:right w:val="single" w:color="1E293B" w:sz="2"/>
            </w:tcBorders>
            <w:shd w:fill="0F172A" w:val="clear"/>
            <w:tcMar>
              <w:top w:type="dxa" w:w="60"/>
              <w:left w:type="dxa" w:w="200"/>
              <w:bottom w:type="dxa" w:w="0"/>
              <w:right w:type="dxa" w:w="160"/>
            </w:tcMar>
          </w:tcPr>
          <w:p>
            <w:pPr>
              <w:spacing w:before="0" w:after="0"/>
            </w:pPr>
            <w:r>
              <w:rPr>
                <w:rFonts w:ascii="Courier New" w:cs="Courier New" w:eastAsia="Courier New" w:hAnsi="Courier New"/>
                <w:color w:val="64748B"/>
                <w:sz w:val="16"/>
                <w:szCs w:val="16"/>
              </w:rPr>
              <w:t xml:space="preserve"/>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mms-platform/</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.github/</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 workflows/</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   └── deploy.yml          ← CI/CD pipeline (never edit without Technical Lead approval)</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 PULL_REQUEST_TEMPLATE.md← PR checklist (filled in for every PR)</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docs/</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 MMS-SRS-v1.0.docx       ← Requirements (source of truth for what to build)</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 architecture/            ← ERD, C4 diagrams, ADRs</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 api/</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   └── openapi.yaml         ← API contract (source of truth for endpoints)</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 decisions/               ← Architecture Decision Records</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services/</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 auth/                    ← Module 1: JWT, 2FA, sessions</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   ├── auth.routes.ts</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   ├── auth.controller.ts</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   ├── auth.service.ts</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   ├── auth.repository.ts</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   └── auth.types.ts</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 eligibility/             ← Module 0: Pre-registration gate</w:t>
              <w:br/>
              <w:t>│   ├── eligibility.routes.ts</w:t>
              <w:br/>
              <w:t>│   ├── eligibility.controller.ts</w:t>
              <w:br/>
              <w:t>│   ├── eligibility.service.ts</w:t>
              <w:br/>
              <w:t>│   └── eligibility.types.ts</w:t>
              <w:br/>
              <w:t>├── onboarding/              ← Module 2: KYC/KYB</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 invoices/                ← Module 3: Invoice intake</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 verification/            ← Module 4: Buyer confirmation</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 risk-engine/             ← Module 5: Risk scoring</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 pricing/                 ← Module 6: Discount calculation</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 approvals/               ← Module 7: Approval workflow</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 collateral/              ← Module 8b: Pre-disbursement gate</w:t>
              <w:br/>
              <w:t>│   ├── collateral.routes.ts</w:t>
              <w:br/>
              <w:t>│   ├── collateral.controller.ts</w:t>
              <w:br/>
              <w:t>│   ├── collateral.service.ts</w:t>
              <w:br/>
              <w:t>│   ├── collateral.repository.ts</w:t>
              <w:br/>
              <w:t>│   └── collateral.types.ts</w:t>
              <w:br/>
              <w:t>├── payments/                ← Module 8: Payment execution (RESTRICTED)</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 collections/             ← Module 9: Overdue tracking</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 facilities/              ← Module 10: Bank facility management</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 reporting/               ← Module 11: Reports and audit export</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shared/</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 database/</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   ├── pool.ts              ← DB connection — use this, never create your own</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   ├── migrations/          ← SQL files — never edit an existing migration</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   └── seeds/               ← Dev data only</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 middleware/</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   ├── auth.middleware.ts   ← JWT verification</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   ├── role.middleware.ts   ← Role-based access control</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   ├── audit.middleware.ts  ← Writes every request to audit_log</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   ├── security.ts          ← Helmet, CORS, rate limiting</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   └── validate.ts          ← Joi validation wrapper</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 errors/</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   ├── mms.error.ts         ← Base error class</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   ├── business.error.ts</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   ├── payment.error.ts     ← Strictest — payment failures</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   └── auth.error.ts</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 crypto.ts                ← AES-256 encryption — use this for all PII</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 logger.ts                ← Winston logger — use this, never console.log</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tests/</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 unit/                    ← Jest unit tests (mocked dependencies)</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 integration/             ← Supertest integration tests (real test DB)</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CLAUDE.md                    ← Claude Code instructions — the project constitution</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docker-compose.yml           ← Local development containers</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docker-compose.prod.yml      ← Production containers</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.env.example                 ← Template — copy to .env.local, never commit .env.local</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package.json</w:t>
            </w:r>
          </w:p>
        </w:tc>
      </w:tr>
      <w:tr>
        <w:tc>
          <w:tcPr>
            <w:tcW w:type="dxa" w:w="9026"/>
            <w:tcBorders>
              <w:top w:val="single" w:color="1E293B" w:sz="2"/>
              <w:left w:val="single" w:color="1E293B" w:sz="2"/>
              <w:bottom w:val="single" w:color="1E293B" w:sz="2"/>
              <w:right w:val="single" w:color="1E293B" w:sz="2"/>
            </w:tcBorders>
            <w:shd w:fill="0F172A" w:val="clear"/>
            <w:tcMar>
              <w:top w:type="dxa" w:w="0"/>
              <w:left w:type="dxa" w:w="200"/>
              <w:bottom w:type="dxa" w:w="60"/>
              <w:right w:type="dxa" w:w="160"/>
            </w:tcMar>
          </w:tcPr>
          <w:p>
            <w:pPr>
              <w:spacing w:before="0" w:after="0"/>
            </w:pPr>
            <w:r>
              <w:rPr>
                <w:rFonts w:ascii="Courier New" w:cs="Courier New" w:eastAsia="Courier New" w:hAnsi="Courier New"/>
                <w:sz w:val="16"/>
                <w:szCs w:val="16"/>
              </w:rPr>
              <w:t xml:space="preserve"/>
            </w:r>
          </w:p>
        </w:tc>
      </w:tr>
    </w:tbl>
    <w:p>
      <w:pPr>
        <w:spacing w:before="0" w:after="140"/>
      </w:pPr>
      <w:r>
        <w:t xml:space="preserve"/>
      </w:r>
    </w:p>
    <w:p>
      <w:pPr>
        <w:pStyle w:val="Heading2"/>
        <w:pBdr>
          <w:bottom w:val="single" w:color="D1D5DB" w:sz="4" w:space="4"/>
        </w:pBdr>
        <w:spacing w:before="320" w:after="120"/>
      </w:pPr>
      <w:r>
        <w:rPr>
          <w:rFonts w:ascii="Arial" w:cs="Arial" w:eastAsia="Arial" w:hAnsi="Arial"/>
          <w:b/>
          <w:bCs/>
          <w:color w:val="1A3A5C"/>
          <w:sz w:val="28"/>
          <w:szCs w:val="28"/>
        </w:rPr>
        <w:t xml:space="preserve">The Five Files You Must Know Before Writing Any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626"/>
      </w:tblGrid>
      <w:tr>
        <w:tc>
          <w:tcPr>
            <w:tcW w:type="dxa" w:w="24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File</w:t>
            </w:r>
          </w:p>
        </w:tc>
        <w:tc>
          <w:tcPr>
            <w:tcW w:type="dxa" w:w="40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Why it matters</w:t>
            </w:r>
          </w:p>
        </w:tc>
        <w:tc>
          <w:tcPr>
            <w:tcW w:type="dxa" w:w="2626"/>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Read before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CLAUDE.md</w:t>
            </w:r>
          </w:p>
        </w:tc>
        <w:tc>
          <w:tcPr>
            <w:tcW w:type="dxa" w:w="4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The project constitution. Contains every coding rule. Claude Code reads this automatically.</w:t>
            </w:r>
          </w:p>
        </w:tc>
        <w:tc>
          <w:tcPr>
            <w:tcW w:type="dxa" w:w="26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Writing any code</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docs/MMS-SRS-v1.0.docx</w:t>
            </w:r>
          </w:p>
        </w:tc>
        <w:tc>
          <w:tcPr>
            <w:tcW w:type="dxa" w:w="4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Defines exactly what each module must do. If it's not in the SRS, don't build it.</w:t>
            </w:r>
          </w:p>
        </w:tc>
        <w:tc>
          <w:tcPr>
            <w:tcW w:type="dxa" w:w="26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Starting any module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docs/api/openapi.yaml</w:t>
            </w:r>
          </w:p>
        </w:tc>
        <w:tc>
          <w:tcPr>
            <w:tcW w:type="dxa" w:w="4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The API contract. Your endpoints must match this exactly — no improvising.</w:t>
            </w:r>
          </w:p>
        </w:tc>
        <w:tc>
          <w:tcPr>
            <w:tcW w:type="dxa" w:w="26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Building any endpoint</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shared/database/pool.ts</w:t>
            </w:r>
          </w:p>
        </w:tc>
        <w:tc>
          <w:tcPr>
            <w:tcW w:type="dxa" w:w="4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The only way to query the database. Never create your own pg.Pool.</w:t>
            </w:r>
          </w:p>
        </w:tc>
        <w:tc>
          <w:tcPr>
            <w:tcW w:type="dxa" w:w="26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Building any repository</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shared/crypto.ts</w:t>
            </w:r>
          </w:p>
        </w:tc>
        <w:tc>
          <w:tcPr>
            <w:tcW w:type="dxa" w:w="4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The only way to encrypt/decrypt. Never use crypto directly in module code.</w:t>
            </w:r>
          </w:p>
        </w:tc>
        <w:tc>
          <w:tcPr>
            <w:tcW w:type="dxa" w:w="26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Building Module 2+</w:t>
            </w:r>
          </w:p>
        </w:tc>
      </w:tr>
    </w:tbl>
    <w:p>
      <w:pPr>
        <w:spacing w:before="0" w:after="0"/>
      </w:pPr>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3A5C" w:val="clear"/>
            <w:tcMar>
              <w:top w:type="dxa" w:w="120"/>
              <w:left w:type="dxa" w:w="240"/>
              <w:bottom w:type="dxa" w:w="120"/>
              <w:right w:type="dxa" w:w="160"/>
            </w:tcMar>
          </w:tcPr>
          <w:p>
            <w:pPr>
              <w:spacing w:before="0" w:after="0"/>
            </w:pPr>
            <w:r>
              <w:rPr>
                <w:rFonts w:ascii="Arial" w:cs="Arial" w:eastAsia="Arial" w:hAnsi="Arial"/>
                <w:b/>
                <w:bCs/>
                <w:color w:val="FFFFFF"/>
                <w:sz w:val="24"/>
                <w:szCs w:val="24"/>
              </w:rPr>
              <w:t xml:space="preserve">Section 3 — Git Workflow: How Code Moves from Laptop to Production</w:t>
            </w:r>
          </w:p>
        </w:tc>
      </w:tr>
    </w:tbl>
    <w:p>
      <w:pPr>
        <w:spacing w:before="0"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1B1B" w:sz="6"/>
              <w:left w:val="single" w:color="991B1B" w:sz="16"/>
              <w:bottom w:val="single" w:color="991B1B" w:sz="2"/>
              <w:right w:val="single" w:color="991B1B" w:sz="2"/>
            </w:tcBorders>
            <w:shd w:fill="FEF2F2" w:val="clear"/>
            <w:tcMar>
              <w:top w:type="dxa" w:w="120"/>
              <w:left w:type="dxa" w:w="200"/>
              <w:bottom w:type="dxa" w:w="120"/>
              <w:right w:type="dxa" w:w="160"/>
            </w:tcMar>
          </w:tcPr>
          <w:p>
            <w:pPr>
              <w:spacing w:before="0" w:after="0"/>
            </w:pPr>
            <w:r>
              <w:rPr>
                <w:rFonts w:ascii="Arial" w:cs="Arial" w:eastAsia="Arial" w:hAnsi="Arial"/>
                <w:color w:val="991B1B"/>
                <w:sz w:val="21"/>
                <w:szCs w:val="21"/>
              </w:rPr>
              <w:t xml:space="preserve">The main branch is protected. No developer can push directly to main. Every change goes through a Pull Request. This is not bureaucracy — it is the only thing standing between a keyboard mistake and a production payment bug.</w:t>
            </w:r>
          </w:p>
        </w:tc>
      </w:tr>
    </w:tbl>
    <w:p>
      <w:pPr>
        <w:spacing w:before="0" w:after="160"/>
      </w:pPr>
      <w:r>
        <w:t xml:space="preserve"/>
      </w:r>
    </w:p>
    <w:p>
      <w:pPr>
        <w:pStyle w:val="Heading2"/>
        <w:pBdr>
          <w:bottom w:val="single" w:color="D1D5DB" w:sz="4" w:space="4"/>
        </w:pBdr>
        <w:spacing w:before="320" w:after="120"/>
      </w:pPr>
      <w:r>
        <w:rPr>
          <w:rFonts w:ascii="Arial" w:cs="Arial" w:eastAsia="Arial" w:hAnsi="Arial"/>
          <w:b/>
          <w:bCs/>
          <w:color w:val="1A3A5C"/>
          <w:sz w:val="28"/>
          <w:szCs w:val="28"/>
        </w:rPr>
        <w:t xml:space="preserve">Branch Strategy (GitFlow Simplified)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1800"/>
        <w:gridCol w:w="1226"/>
      </w:tblGrid>
      <w:tr>
        <w:tc>
          <w:tcPr>
            <w:tcW w:type="dxa" w:w="22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Branch</w:t>
            </w:r>
          </w:p>
        </w:tc>
        <w:tc>
          <w:tcPr>
            <w:tcW w:type="dxa" w:w="20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Purpose</w:t>
            </w:r>
          </w:p>
        </w:tc>
        <w:tc>
          <w:tcPr>
            <w:tcW w:type="dxa" w:w="18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Who creates it</w:t>
            </w:r>
          </w:p>
        </w:tc>
        <w:tc>
          <w:tcPr>
            <w:tcW w:type="dxa" w:w="18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Merges into</w:t>
            </w:r>
          </w:p>
        </w:tc>
        <w:tc>
          <w:tcPr>
            <w:tcW w:type="dxa" w:w="1226"/>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Protected?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main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Live production code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Never created manually</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Never merged manually — CI only</w:t>
            </w:r>
          </w:p>
        </w:tc>
        <w:tc>
          <w:tcPr>
            <w:tcW w:type="dxa" w:w="12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YES — no direct push</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staging</w:t>
            </w:r>
          </w:p>
        </w:tc>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Staging environment code</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CI/CD pipeline</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main via Manual Gate</w:t>
            </w:r>
          </w:p>
        </w:tc>
        <w:tc>
          <w:tcPr>
            <w:tcW w:type="dxa" w:w="12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YES — no direct push</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develop</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Integration branch — all features merge here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Created once by Tech Lead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staging via PR + review</w:t>
            </w:r>
          </w:p>
        </w:tc>
        <w:tc>
          <w:tcPr>
            <w:tcW w:type="dxa" w:w="12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YES — requires PR</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feature/MODULE-description</w:t>
            </w:r>
          </w:p>
        </w:tc>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Individual feature development</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Developer</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develop via PR + review</w:t>
            </w:r>
          </w:p>
        </w:tc>
        <w:tc>
          <w:tcPr>
            <w:tcW w:type="dxa" w:w="12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No</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fix/MODULE-short-description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Bug fix</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Developer</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develop via PR + review</w:t>
            </w:r>
          </w:p>
        </w:tc>
        <w:tc>
          <w:tcPr>
            <w:tcW w:type="dxa" w:w="12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No</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hotfix/CRITICAL-description</w:t>
            </w:r>
          </w:p>
        </w:tc>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Critical production fix only</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Technical Lead</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main AND develop</w:t>
            </w:r>
          </w:p>
        </w:tc>
        <w:tc>
          <w:tcPr>
            <w:tcW w:type="dxa" w:w="12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No — but requires MD approval</w:t>
            </w:r>
          </w:p>
        </w:tc>
      </w:tr>
    </w:tbl>
    <w:p>
      <w:pPr>
        <w:spacing w:before="0" w:after="140"/>
      </w:pPr>
      <w:r>
        <w:t xml:space="preserve"/>
      </w:r>
    </w:p>
    <w:p>
      <w:pPr>
        <w:pStyle w:val="Heading2"/>
        <w:pBdr>
          <w:bottom w:val="single" w:color="D1D5DB" w:sz="4" w:space="4"/>
        </w:pBdr>
        <w:spacing w:before="320" w:after="120"/>
      </w:pPr>
      <w:r>
        <w:rPr>
          <w:rFonts w:ascii="Arial" w:cs="Arial" w:eastAsia="Arial" w:hAnsi="Arial"/>
          <w:b/>
          <w:bCs/>
          <w:color w:val="1A3A5C"/>
          <w:sz w:val="28"/>
          <w:szCs w:val="28"/>
        </w:rPr>
        <w:t xml:space="preserve">Branch Naming Convention — Mandatory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293B" w:sz="2"/>
              <w:left w:val="single" w:color="1E293B" w:sz="2"/>
              <w:bottom w:val="single" w:color="1E293B" w:sz="2"/>
              <w:right w:val="single" w:color="1E293B" w:sz="2"/>
            </w:tcBorders>
            <w:shd w:fill="0F172A" w:val="clear"/>
            <w:tcMar>
              <w:top w:type="dxa" w:w="60"/>
              <w:left w:type="dxa" w:w="200"/>
              <w:bottom w:type="dxa" w:w="0"/>
              <w:right w:type="dxa" w:w="160"/>
            </w:tcMar>
          </w:tcPr>
          <w:p>
            <w:pPr>
              <w:spacing w:before="0" w:after="0"/>
            </w:pPr>
            <w:r>
              <w:rPr>
                <w:rFonts w:ascii="Courier New" w:cs="Courier New" w:eastAsia="Courier New" w:hAnsi="Courier New"/>
                <w:color w:val="64748B"/>
                <w:sz w:val="16"/>
                <w:szCs w:val="16"/>
              </w:rPr>
              <w:t xml:space="preserve"/>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Feature branches</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feature/auth-jwt-implementation</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feature/onboarding-kyc-document-upload</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feature/risk-engine-buyer-credit-scorer</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feature/payment-mtn-momo-provider</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Bug fix branches</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fix/auth-lockout-not-resetting</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fix/invoice-duplicate-check-missing-supplier-id</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Hotfix branches (critical only — get Technical Lead approval first)</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hotfix/payment-dual-auth-bypass</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WRONG — never use these formats:</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my-branch          ← no context</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fix                ← too vague</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johns-work         ← personal name</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wip                ← not a branch name</w:t>
            </w:r>
          </w:p>
        </w:tc>
      </w:tr>
      <w:tr>
        <w:tc>
          <w:tcPr>
            <w:tcW w:type="dxa" w:w="9026"/>
            <w:tcBorders>
              <w:top w:val="single" w:color="1E293B" w:sz="2"/>
              <w:left w:val="single" w:color="1E293B" w:sz="2"/>
              <w:bottom w:val="single" w:color="1E293B" w:sz="2"/>
              <w:right w:val="single" w:color="1E293B" w:sz="2"/>
            </w:tcBorders>
            <w:shd w:fill="0F172A" w:val="clear"/>
            <w:tcMar>
              <w:top w:type="dxa" w:w="0"/>
              <w:left w:type="dxa" w:w="200"/>
              <w:bottom w:type="dxa" w:w="60"/>
              <w:right w:type="dxa" w:w="160"/>
            </w:tcMar>
          </w:tcPr>
          <w:p>
            <w:pPr>
              <w:spacing w:before="0" w:after="0"/>
            </w:pPr>
            <w:r>
              <w:rPr>
                <w:rFonts w:ascii="Courier New" w:cs="Courier New" w:eastAsia="Courier New" w:hAnsi="Courier New"/>
                <w:sz w:val="16"/>
                <w:szCs w:val="16"/>
              </w:rPr>
              <w:t xml:space="preserve"/>
            </w:r>
          </w:p>
        </w:tc>
      </w:tr>
    </w:tbl>
    <w:p>
      <w:pPr>
        <w:spacing w:before="0" w:after="140"/>
      </w:pPr>
      <w:r>
        <w:t xml:space="preserve"/>
      </w:r>
    </w:p>
    <w:p>
      <w:pPr>
        <w:pStyle w:val="Heading2"/>
        <w:pBdr>
          <w:bottom w:val="single" w:color="D1D5DB" w:sz="4" w:space="4"/>
        </w:pBdr>
        <w:spacing w:before="320" w:after="120"/>
      </w:pPr>
      <w:r>
        <w:rPr>
          <w:rFonts w:ascii="Arial" w:cs="Arial" w:eastAsia="Arial" w:hAnsi="Arial"/>
          <w:b/>
          <w:bCs/>
          <w:color w:val="1A3A5C"/>
          <w:sz w:val="28"/>
          <w:szCs w:val="28"/>
        </w:rPr>
        <w:t xml:space="preserve">Daily Git Workflow — Follow This Every 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293B" w:sz="2"/>
              <w:left w:val="single" w:color="1E293B" w:sz="2"/>
              <w:bottom w:val="single" w:color="1E293B" w:sz="2"/>
              <w:right w:val="single" w:color="1E293B" w:sz="2"/>
            </w:tcBorders>
            <w:shd w:fill="0F172A" w:val="clear"/>
            <w:tcMar>
              <w:top w:type="dxa" w:w="60"/>
              <w:left w:type="dxa" w:w="200"/>
              <w:bottom w:type="dxa" w:w="0"/>
              <w:right w:type="dxa" w:w="160"/>
            </w:tcMar>
          </w:tcPr>
          <w:p>
            <w:pPr>
              <w:spacing w:before="0" w:after="0"/>
            </w:pPr>
            <w:r>
              <w:rPr>
                <w:rFonts w:ascii="Courier New" w:cs="Courier New" w:eastAsia="Courier New" w:hAnsi="Courier New"/>
                <w:color w:val="64748B"/>
                <w:sz w:val="16"/>
                <w:szCs w:val="16"/>
              </w:rPr>
              <w:t xml:space="preserve"/>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1. Start of every day — sync with develop</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git checkout develop</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git pull origin develop</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2. Create or switch to your feature branch</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git checkout -b feature/risk-engine-tenor-scorer</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OR if continuing yesterday's work:</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git checkout feature/risk-engine-tenor-scorer</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3. Work on your code...</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4. Before committing — run the full check suite</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npm run lint          # ESLint — must pass with 0 errors</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npm run typecheck     # TypeScript — must pass with 0 errors</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npm run test:unit     # Jest unit tests — must all pass</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5. Stage and commit with a meaningful message</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git add .</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git commit -m "feat(risk-engine): implement tenor scoring factor with boundary tests"</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6. Push your branch</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git push origin feature/risk-engine-tenor-scorer</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7. End of day — always push. Never lose work on an unpushed local branch.</w:t>
            </w:r>
          </w:p>
        </w:tc>
      </w:tr>
      <w:tr>
        <w:tc>
          <w:tcPr>
            <w:tcW w:type="dxa" w:w="9026"/>
            <w:tcBorders>
              <w:top w:val="single" w:color="1E293B" w:sz="2"/>
              <w:left w:val="single" w:color="1E293B" w:sz="2"/>
              <w:bottom w:val="single" w:color="1E293B" w:sz="2"/>
              <w:right w:val="single" w:color="1E293B" w:sz="2"/>
            </w:tcBorders>
            <w:shd w:fill="0F172A" w:val="clear"/>
            <w:tcMar>
              <w:top w:type="dxa" w:w="0"/>
              <w:left w:type="dxa" w:w="200"/>
              <w:bottom w:type="dxa" w:w="60"/>
              <w:right w:type="dxa" w:w="160"/>
            </w:tcMar>
          </w:tcPr>
          <w:p>
            <w:pPr>
              <w:spacing w:before="0" w:after="0"/>
            </w:pPr>
            <w:r>
              <w:rPr>
                <w:rFonts w:ascii="Courier New" w:cs="Courier New" w:eastAsia="Courier New" w:hAnsi="Courier New"/>
                <w:sz w:val="16"/>
                <w:szCs w:val="16"/>
              </w:rPr>
              <w:t xml:space="preserve"/>
            </w:r>
          </w:p>
        </w:tc>
      </w:tr>
    </w:tbl>
    <w:p>
      <w:pPr>
        <w:spacing w:before="0" w:after="140"/>
      </w:pPr>
      <w:r>
        <w:t xml:space="preserve"/>
      </w:r>
    </w:p>
    <w:p>
      <w:pPr>
        <w:pStyle w:val="Heading2"/>
        <w:pBdr>
          <w:bottom w:val="single" w:color="D1D5DB" w:sz="4" w:space="4"/>
        </w:pBdr>
        <w:spacing w:before="320" w:after="120"/>
      </w:pPr>
      <w:r>
        <w:rPr>
          <w:rFonts w:ascii="Arial" w:cs="Arial" w:eastAsia="Arial" w:hAnsi="Arial"/>
          <w:b/>
          <w:bCs/>
          <w:color w:val="1A3A5C"/>
          <w:sz w:val="28"/>
          <w:szCs w:val="28"/>
        </w:rPr>
        <w:t xml:space="preserve">Commit Message Format — Mandatory</w:t>
      </w:r>
    </w:p>
    <w:p>
      <w:pPr>
        <w:spacing w:before="60" w:after="100"/>
        <w:jc w:val="left"/>
      </w:pPr>
      <w:r>
        <w:rPr>
          <w:rFonts w:ascii="Arial" w:cs="Arial" w:eastAsia="Arial" w:hAnsi="Arial"/>
          <w:b w:val="false"/>
          <w:bCs w:val="false"/>
          <w:i w:val="false"/>
          <w:iCs w:val="false"/>
          <w:color w:val="374151"/>
          <w:sz w:val="22"/>
          <w:szCs w:val="22"/>
        </w:rPr>
        <w:t xml:space="preserve">Every commit message must follow the Conventional Commits format. This is enforced by a Git hook — commits that do not follow the format are rejected automatically.</w:t>
      </w:r>
    </w:p>
    <w:p>
      <w:pPr>
        <w:spacing w:before="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293B" w:sz="2"/>
              <w:left w:val="single" w:color="1E293B" w:sz="2"/>
              <w:bottom w:val="single" w:color="1E293B" w:sz="2"/>
              <w:right w:val="single" w:color="1E293B" w:sz="2"/>
            </w:tcBorders>
            <w:shd w:fill="0F172A" w:val="clear"/>
            <w:tcMar>
              <w:top w:type="dxa" w:w="60"/>
              <w:left w:type="dxa" w:w="200"/>
              <w:bottom w:type="dxa" w:w="0"/>
              <w:right w:type="dxa" w:w="160"/>
            </w:tcMar>
          </w:tcPr>
          <w:p>
            <w:pPr>
              <w:spacing w:before="0" w:after="0"/>
            </w:pPr>
            <w:r>
              <w:rPr>
                <w:rFonts w:ascii="Courier New" w:cs="Courier New" w:eastAsia="Courier New" w:hAnsi="Courier New"/>
                <w:color w:val="64748B"/>
                <w:sz w:val="16"/>
                <w:szCs w:val="16"/>
              </w:rPr>
              <w:t xml:space="preserve"/>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Format: type(scope): description</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Types:</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feat     — new feature</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fix      — bug fix</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test     — adding or modifying tests</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docs     — documentation changes</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refactor — code restructure with no behaviour change</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security — security fix (flag for review)</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chore    — build, config, dependencies</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Good examples:</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feat(auth): add TOTP two-factor authentication with speakeasy</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fix(invoice-intake): resolve duplicate check missing buyer_id comparison</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test(risk-engine): add boundary tests for concentration risk at 90% threshold</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security(payments): enforce dual-auth user inequality at application layer</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Bad examples (will be rejected):</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fixed bug</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wip</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changes</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John's work on auth</w:t>
            </w:r>
          </w:p>
        </w:tc>
      </w:tr>
      <w:tr>
        <w:tc>
          <w:tcPr>
            <w:tcW w:type="dxa" w:w="9026"/>
            <w:tcBorders>
              <w:top w:val="single" w:color="1E293B" w:sz="2"/>
              <w:left w:val="single" w:color="1E293B" w:sz="2"/>
              <w:bottom w:val="single" w:color="1E293B" w:sz="2"/>
              <w:right w:val="single" w:color="1E293B" w:sz="2"/>
            </w:tcBorders>
            <w:shd w:fill="0F172A" w:val="clear"/>
            <w:tcMar>
              <w:top w:type="dxa" w:w="0"/>
              <w:left w:type="dxa" w:w="200"/>
              <w:bottom w:type="dxa" w:w="60"/>
              <w:right w:type="dxa" w:w="160"/>
            </w:tcMar>
          </w:tcPr>
          <w:p>
            <w:pPr>
              <w:spacing w:before="0" w:after="0"/>
            </w:pPr>
            <w:r>
              <w:rPr>
                <w:rFonts w:ascii="Courier New" w:cs="Courier New" w:eastAsia="Courier New" w:hAnsi="Courier New"/>
                <w:sz w:val="16"/>
                <w:szCs w:val="16"/>
              </w:rPr>
              <w:t xml:space="preserve"/>
            </w:r>
          </w:p>
        </w:tc>
      </w:tr>
    </w:tbl>
    <w:p>
      <w:pPr>
        <w:spacing w:before="0" w:after="140"/>
      </w:pPr>
      <w:r>
        <w:t xml:space="preserve"/>
      </w:r>
    </w:p>
    <w:p>
      <w:pPr>
        <w:pStyle w:val="Heading2"/>
        <w:pBdr>
          <w:bottom w:val="single" w:color="D1D5DB" w:sz="4" w:space="4"/>
        </w:pBdr>
        <w:spacing w:before="320" w:after="120"/>
      </w:pPr>
      <w:r>
        <w:rPr>
          <w:rFonts w:ascii="Arial" w:cs="Arial" w:eastAsia="Arial" w:hAnsi="Arial"/>
          <w:b/>
          <w:bCs/>
          <w:color w:val="1A3A5C"/>
          <w:sz w:val="28"/>
          <w:szCs w:val="28"/>
        </w:rPr>
        <w:t xml:space="preserve">Pull Request Process — Step by Step</w:t>
      </w:r>
    </w:p>
    <w:p>
      <w:pPr>
        <w:pStyle w:val="ListParagraph"/>
        <w:numPr>
          <w:ilvl w:val="0"/>
          <w:numId w:val="2"/>
        </w:numPr>
        <w:spacing w:before="40" w:after="80"/>
      </w:pPr>
      <w:r>
        <w:rPr>
          <w:rFonts w:ascii="Arial" w:cs="Arial" w:eastAsia="Arial" w:hAnsi="Arial"/>
          <w:color w:val="374151"/>
          <w:sz w:val="22"/>
          <w:szCs w:val="22"/>
        </w:rPr>
        <w:t xml:space="preserve">Push your feature branch to GitHub</w:t>
      </w:r>
    </w:p>
    <w:p>
      <w:pPr>
        <w:pStyle w:val="ListParagraph"/>
        <w:numPr>
          <w:ilvl w:val="0"/>
          <w:numId w:val="2"/>
        </w:numPr>
        <w:spacing w:before="40" w:after="80"/>
      </w:pPr>
      <w:r>
        <w:rPr>
          <w:rFonts w:ascii="Arial" w:cs="Arial" w:eastAsia="Arial" w:hAnsi="Arial"/>
          <w:color w:val="374151"/>
          <w:sz w:val="22"/>
          <w:szCs w:val="22"/>
        </w:rPr>
        <w:t xml:space="preserve">Go to GitHub → mms-platform → Pull Requests → New Pull Request</w:t>
      </w:r>
    </w:p>
    <w:p>
      <w:pPr>
        <w:pStyle w:val="ListParagraph"/>
        <w:numPr>
          <w:ilvl w:val="0"/>
          <w:numId w:val="2"/>
        </w:numPr>
        <w:spacing w:before="40" w:after="80"/>
      </w:pPr>
      <w:r>
        <w:rPr>
          <w:rFonts w:ascii="Arial" w:cs="Arial" w:eastAsia="Arial" w:hAnsi="Arial"/>
          <w:color w:val="374151"/>
          <w:sz w:val="22"/>
          <w:szCs w:val="22"/>
        </w:rPr>
        <w:t xml:space="preserve">Set base branch to develop (never main directly)</w:t>
      </w:r>
    </w:p>
    <w:p>
      <w:pPr>
        <w:pStyle w:val="ListParagraph"/>
        <w:numPr>
          <w:ilvl w:val="0"/>
          <w:numId w:val="2"/>
        </w:numPr>
        <w:spacing w:before="40" w:after="80"/>
      </w:pPr>
      <w:r>
        <w:rPr>
          <w:rFonts w:ascii="Arial" w:cs="Arial" w:eastAsia="Arial" w:hAnsi="Arial"/>
          <w:color w:val="374151"/>
          <w:sz w:val="22"/>
          <w:szCs w:val="22"/>
        </w:rPr>
        <w:t xml:space="preserve">Fill in the Pull Request template completely — every field. A PR with incomplete template is returned without review.</w:t>
      </w:r>
    </w:p>
    <w:p>
      <w:pPr>
        <w:pStyle w:val="ListParagraph"/>
        <w:numPr>
          <w:ilvl w:val="0"/>
          <w:numId w:val="2"/>
        </w:numPr>
        <w:spacing w:before="40" w:after="80"/>
      </w:pPr>
      <w:r>
        <w:rPr>
          <w:rFonts w:ascii="Arial" w:cs="Arial" w:eastAsia="Arial" w:hAnsi="Arial"/>
          <w:color w:val="374151"/>
          <w:sz w:val="22"/>
          <w:szCs w:val="22"/>
        </w:rPr>
        <w:t xml:space="preserve">Assign the Technical Lead as reviewer (mandatory for all PRs)</w:t>
      </w:r>
    </w:p>
    <w:p>
      <w:pPr>
        <w:pStyle w:val="ListParagraph"/>
        <w:numPr>
          <w:ilvl w:val="0"/>
          <w:numId w:val="2"/>
        </w:numPr>
        <w:spacing w:before="40" w:after="80"/>
      </w:pPr>
      <w:r>
        <w:rPr>
          <w:rFonts w:ascii="Arial" w:cs="Arial" w:eastAsia="Arial" w:hAnsi="Arial"/>
          <w:color w:val="374151"/>
          <w:sz w:val="22"/>
          <w:szCs w:val="22"/>
        </w:rPr>
        <w:t xml:space="preserve">Assign the Compliance Officer as reviewer for any module touching AML/KYC, payments, or audit logs</w:t>
      </w:r>
    </w:p>
    <w:p>
      <w:pPr>
        <w:pStyle w:val="ListParagraph"/>
        <w:numPr>
          <w:ilvl w:val="0"/>
          <w:numId w:val="2"/>
        </w:numPr>
        <w:spacing w:before="40" w:after="80"/>
      </w:pPr>
      <w:r>
        <w:rPr>
          <w:rFonts w:ascii="Arial" w:cs="Arial" w:eastAsia="Arial" w:hAnsi="Arial"/>
          <w:color w:val="374151"/>
          <w:sz w:val="22"/>
          <w:szCs w:val="22"/>
        </w:rPr>
        <w:t xml:space="preserve">Wait for CI pipeline to pass — all 5 stages must be green before review begins</w:t>
      </w:r>
    </w:p>
    <w:p>
      <w:pPr>
        <w:pStyle w:val="ListParagraph"/>
        <w:numPr>
          <w:ilvl w:val="0"/>
          <w:numId w:val="2"/>
        </w:numPr>
        <w:spacing w:before="40" w:after="80"/>
      </w:pPr>
      <w:r>
        <w:rPr>
          <w:rFonts w:ascii="Arial" w:cs="Arial" w:eastAsia="Arial" w:hAnsi="Arial"/>
          <w:color w:val="374151"/>
          <w:sz w:val="22"/>
          <w:szCs w:val="22"/>
        </w:rPr>
        <w:t xml:space="preserve">Address every review comment before requesting re-review</w:t>
      </w:r>
    </w:p>
    <w:p>
      <w:pPr>
        <w:pStyle w:val="ListParagraph"/>
        <w:numPr>
          <w:ilvl w:val="0"/>
          <w:numId w:val="2"/>
        </w:numPr>
        <w:spacing w:before="40" w:after="80"/>
      </w:pPr>
      <w:r>
        <w:rPr>
          <w:rFonts w:ascii="Arial" w:cs="Arial" w:eastAsia="Arial" w:hAnsi="Arial"/>
          <w:color w:val="374151"/>
          <w:sz w:val="22"/>
          <w:szCs w:val="22"/>
        </w:rPr>
        <w:t xml:space="preserve">Technical Lead approves and merges — developers do not merge their own PRs</w:t>
      </w:r>
    </w:p>
    <w:p>
      <w:pPr>
        <w:spacing w:before="0" w:after="140"/>
      </w:pPr>
      <w:r>
        <w:t xml:space="preserve"/>
      </w:r>
    </w:p>
    <w:p>
      <w:pPr>
        <w:pStyle w:val="Heading2"/>
        <w:pBdr>
          <w:bottom w:val="single" w:color="D1D5DB" w:sz="4" w:space="4"/>
        </w:pBdr>
        <w:spacing w:before="320" w:after="120"/>
      </w:pPr>
      <w:r>
        <w:rPr>
          <w:rFonts w:ascii="Arial" w:cs="Arial" w:eastAsia="Arial" w:hAnsi="Arial"/>
          <w:b/>
          <w:bCs/>
          <w:color w:val="1A3A5C"/>
          <w:sz w:val="28"/>
          <w:szCs w:val="28"/>
        </w:rPr>
        <w:t xml:space="preserve">Pull Request Template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D4ED8" w:sz="6"/>
              <w:left w:val="single" w:color="1D4ED8" w:sz="16"/>
              <w:bottom w:val="single" w:color="1D4ED8" w:sz="2"/>
              <w:right w:val="single" w:color="1D4ED8" w:sz="2"/>
            </w:tcBorders>
            <w:shd w:fill="EFF6FF" w:val="clear"/>
            <w:tcMar>
              <w:top w:type="dxa" w:w="120"/>
              <w:left w:type="dxa" w:w="200"/>
              <w:bottom w:type="dxa" w:w="120"/>
              <w:right w:type="dxa" w:w="160"/>
            </w:tcMar>
          </w:tcPr>
          <w:p>
            <w:pPr>
              <w:spacing w:before="0" w:after="0"/>
            </w:pPr>
            <w:r>
              <w:rPr>
                <w:rFonts w:ascii="Arial" w:cs="Arial" w:eastAsia="Arial" w:hAnsi="Arial"/>
                <w:color w:val="1D4ED8"/>
                <w:sz w:val="21"/>
                <w:szCs w:val="21"/>
              </w:rPr>
              <w:t xml:space="preserve">This template is saved in .github/PULL_REQUEST_TEMPLATE.md and appears automatically for every PR.</w:t>
            </w:r>
          </w:p>
        </w:tc>
      </w:tr>
    </w:tbl>
    <w:p>
      <w:pPr>
        <w:spacing w:before="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293B" w:sz="2"/>
              <w:left w:val="single" w:color="1E293B" w:sz="2"/>
              <w:bottom w:val="single" w:color="1E293B" w:sz="2"/>
              <w:right w:val="single" w:color="1E293B" w:sz="2"/>
            </w:tcBorders>
            <w:shd w:fill="0F172A" w:val="clear"/>
            <w:tcMar>
              <w:top w:type="dxa" w:w="60"/>
              <w:left w:type="dxa" w:w="200"/>
              <w:bottom w:type="dxa" w:w="0"/>
              <w:right w:type="dxa" w:w="160"/>
            </w:tcMar>
          </w:tcPr>
          <w:p>
            <w:pPr>
              <w:spacing w:before="0" w:after="0"/>
            </w:pPr>
            <w:r>
              <w:rPr>
                <w:rFonts w:ascii="Courier New" w:cs="Courier New" w:eastAsia="Courier New" w:hAnsi="Courier New"/>
                <w:color w:val="64748B"/>
                <w:sz w:val="16"/>
                <w:szCs w:val="16"/>
              </w:rPr>
              <w:t xml:space="preserve"/>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What does this PR do?</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[One paragraph summary of the change and why it was made]</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Module / Phase</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 ] Module 1 — Auth</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 ] Module 2 — Onboarding</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 ] Module 3 — Invoice Intake</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 ] Module 4 — Buyer Verification</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 ] Module 5 — Risk Scoring Engine</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 ] Module 6 — Pricing Engine</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 ] Module 7 — Approval Workflow</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 ] Module 8 — Payment Engine</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 ] Module 9 — Collections</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 ] Module 10 — Bank Facilities</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 ] Module 11 — Reporting</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Developer Checklist (ALL must be checked before submitting)</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 ] I have read the relevant section of MMS-SRS-v1.0.docx</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 ] My endpoints match openapi.yaml exactly</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 ] All SQL queries use parameterised statements (zero string concatenation)</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 ] No PII appears in any log statement</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 ] All inputs validated with Joi before any business logic</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 ] Every action writes to audit_logs before the function returns</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 ] I ran the OWASP security review prompt in Claude Desktop against this code</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 ] Unit tests written with 80%+ coverage on new code</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 ] All existing tests still passing (npm run test)</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 ] TypeScript compiles with zero errors (npm run typecheck)</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 ] ESLint passes with zero errors (npm run lint)</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Security Review</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 ] I ran the OWASP ZAP scan against my endpoints</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 ] No HIGH risk findings in ZAP report</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 ] I verified a user cannot access another user's data through my endpoints</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For Payment Engine PRs only (Module 8)</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 ] Dual authorisation enforced at application layer</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 ] Dual authorisation enforced at database level (trigger verified)</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 ] Same user cannot be both dual_auth_user_1 and dual_auth_user_2</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 ] Compliance Officer has been added as reviewer</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Test evidence</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[Paste Postman screenshots or curl outputs showing the endpoint working correctly]</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Related SRS requirements</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[List the REQ-MODULE-NUMBER requirements this PR satisfies]</w:t>
            </w:r>
          </w:p>
        </w:tc>
      </w:tr>
      <w:tr>
        <w:tc>
          <w:tcPr>
            <w:tcW w:type="dxa" w:w="9026"/>
            <w:tcBorders>
              <w:top w:val="single" w:color="1E293B" w:sz="2"/>
              <w:left w:val="single" w:color="1E293B" w:sz="2"/>
              <w:bottom w:val="single" w:color="1E293B" w:sz="2"/>
              <w:right w:val="single" w:color="1E293B" w:sz="2"/>
            </w:tcBorders>
            <w:shd w:fill="0F172A" w:val="clear"/>
            <w:tcMar>
              <w:top w:type="dxa" w:w="0"/>
              <w:left w:type="dxa" w:w="200"/>
              <w:bottom w:type="dxa" w:w="60"/>
              <w:right w:type="dxa" w:w="160"/>
            </w:tcMar>
          </w:tcPr>
          <w:p>
            <w:pPr>
              <w:spacing w:before="0" w:after="0"/>
            </w:pPr>
            <w:r>
              <w:rPr>
                <w:rFonts w:ascii="Courier New" w:cs="Courier New" w:eastAsia="Courier New" w:hAnsi="Courier New"/>
                <w:sz w:val="16"/>
                <w:szCs w:val="16"/>
              </w:rPr>
              <w:t xml:space="preserve"/>
            </w:r>
          </w:p>
        </w:tc>
      </w:tr>
    </w:tbl>
    <w:p>
      <w:pPr>
        <w:spacing w:before="0" w:after="0"/>
      </w:pPr>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3A5C" w:val="clear"/>
            <w:tcMar>
              <w:top w:type="dxa" w:w="120"/>
              <w:left w:type="dxa" w:w="240"/>
              <w:bottom w:type="dxa" w:w="120"/>
              <w:right w:type="dxa" w:w="160"/>
            </w:tcMar>
          </w:tcPr>
          <w:p>
            <w:pPr>
              <w:spacing w:before="0" w:after="0"/>
            </w:pPr>
            <w:r>
              <w:rPr>
                <w:rFonts w:ascii="Arial" w:cs="Arial" w:eastAsia="Arial" w:hAnsi="Arial"/>
                <w:b/>
                <w:bCs/>
                <w:color w:val="FFFFFF"/>
                <w:sz w:val="24"/>
                <w:szCs w:val="24"/>
              </w:rPr>
              <w:t xml:space="preserve">Section 4 — Coding Standards: The Rules That Apply to Every Line</w:t>
            </w:r>
          </w:p>
        </w:tc>
      </w:tr>
    </w:tbl>
    <w:p>
      <w:pPr>
        <w:spacing w:before="0" w:after="160"/>
      </w:pPr>
      <w:r>
        <w:t xml:space="preserve"/>
      </w:r>
    </w:p>
    <w:p>
      <w:pPr>
        <w:spacing w:before="60" w:after="100"/>
        <w:jc w:val="left"/>
      </w:pPr>
      <w:r>
        <w:rPr>
          <w:rFonts w:ascii="Arial" w:cs="Arial" w:eastAsia="Arial" w:hAnsi="Arial"/>
          <w:b w:val="false"/>
          <w:bCs w:val="false"/>
          <w:i w:val="false"/>
          <w:iCs w:val="false"/>
          <w:color w:val="374151"/>
          <w:sz w:val="22"/>
          <w:szCs w:val="22"/>
        </w:rPr>
        <w:t xml:space="preserve">These are not suggestions. Every rule below is enforced by one or more of: TypeScript compiler, ESLint, Git hooks, or code review. A PR that violates any of these rules will not be merged.</w:t>
      </w:r>
    </w:p>
    <w:p>
      <w:pPr>
        <w:spacing w:before="0" w:after="140"/>
      </w:pPr>
      <w:r>
        <w:t xml:space="preserve"/>
      </w:r>
    </w:p>
    <w:p>
      <w:pPr>
        <w:pStyle w:val="Heading2"/>
        <w:pBdr>
          <w:bottom w:val="single" w:color="D1D5DB" w:sz="4" w:space="4"/>
        </w:pBdr>
        <w:spacing w:before="320" w:after="120"/>
      </w:pPr>
      <w:r>
        <w:rPr>
          <w:rFonts w:ascii="Arial" w:cs="Arial" w:eastAsia="Arial" w:hAnsi="Arial"/>
          <w:b/>
          <w:bCs/>
          <w:color w:val="1A3A5C"/>
          <w:sz w:val="28"/>
          <w:szCs w:val="28"/>
        </w:rPr>
        <w:t xml:space="preserve">Rule 1 — TypeScript Strict Mode: Zero Any Types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293B" w:sz="2"/>
              <w:left w:val="single" w:color="1E293B" w:sz="2"/>
              <w:bottom w:val="single" w:color="1E293B" w:sz="2"/>
              <w:right w:val="single" w:color="1E293B" w:sz="2"/>
            </w:tcBorders>
            <w:shd w:fill="0F172A" w:val="clear"/>
            <w:tcMar>
              <w:top w:type="dxa" w:w="60"/>
              <w:left w:type="dxa" w:w="200"/>
              <w:bottom w:type="dxa" w:w="0"/>
              <w:right w:type="dxa" w:w="160"/>
            </w:tcMar>
          </w:tcPr>
          <w:p>
            <w:pPr>
              <w:spacing w:before="0" w:after="0"/>
            </w:pPr>
            <w:r>
              <w:rPr>
                <w:rFonts w:ascii="Courier New" w:cs="Courier New" w:eastAsia="Courier New" w:hAnsi="Courier New"/>
                <w:color w:val="64748B"/>
                <w:sz w:val="16"/>
                <w:szCs w:val="16"/>
              </w:rPr>
              <w:t xml:space="preserve"/>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WRONG — 'any' defeats TypeScript's purpose</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function scoreInvoice(invoice: any): any {</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return invoice.value * 0.95;</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CORRECT — explicit types catch bugs at compile time</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interface Invoice {</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id: string;</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faceValue: number;</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buyerId: string;</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supplierId: string;</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dueDate: Date;</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interface PricingResult {</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advanceAmount: number;</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discountRate: number;</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netPayment: number;</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function calculateAdvance(invoice: Invoice): PricingResult {</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const advanceAmount = invoice.faceValue * 0.95;</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return { advanceAmount, discountRate: 0.05, netPayment: advanceAmount };</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w:t>
            </w:r>
          </w:p>
        </w:tc>
      </w:tr>
      <w:tr>
        <w:tc>
          <w:tcPr>
            <w:tcW w:type="dxa" w:w="9026"/>
            <w:tcBorders>
              <w:top w:val="single" w:color="1E293B" w:sz="2"/>
              <w:left w:val="single" w:color="1E293B" w:sz="2"/>
              <w:bottom w:val="single" w:color="1E293B" w:sz="2"/>
              <w:right w:val="single" w:color="1E293B" w:sz="2"/>
            </w:tcBorders>
            <w:shd w:fill="0F172A" w:val="clear"/>
            <w:tcMar>
              <w:top w:type="dxa" w:w="0"/>
              <w:left w:type="dxa" w:w="200"/>
              <w:bottom w:type="dxa" w:w="60"/>
              <w:right w:type="dxa" w:w="160"/>
            </w:tcMar>
          </w:tcPr>
          <w:p>
            <w:pPr>
              <w:spacing w:before="0" w:after="0"/>
            </w:pPr>
            <w:r>
              <w:rPr>
                <w:rFonts w:ascii="Courier New" w:cs="Courier New" w:eastAsia="Courier New" w:hAnsi="Courier New"/>
                <w:sz w:val="16"/>
                <w:szCs w:val="16"/>
              </w:rPr>
              <w:t xml:space="preserve"/>
            </w:r>
          </w:p>
        </w:tc>
      </w:tr>
    </w:tbl>
    <w:p>
      <w:pPr>
        <w:spacing w:before="0" w:after="140"/>
      </w:pPr>
      <w:r>
        <w:t xml:space="preserve"/>
      </w:r>
    </w:p>
    <w:p>
      <w:pPr>
        <w:pStyle w:val="Heading2"/>
        <w:pBdr>
          <w:bottom w:val="single" w:color="D1D5DB" w:sz="4" w:space="4"/>
        </w:pBdr>
        <w:spacing w:before="320" w:after="120"/>
      </w:pPr>
      <w:r>
        <w:rPr>
          <w:rFonts w:ascii="Arial" w:cs="Arial" w:eastAsia="Arial" w:hAnsi="Arial"/>
          <w:b/>
          <w:bCs/>
          <w:color w:val="1A3A5C"/>
          <w:sz w:val="28"/>
          <w:szCs w:val="28"/>
        </w:rPr>
        <w:t xml:space="preserve">Rule 2 — Parameterised Queries: Zero SQL String Concatenation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293B" w:sz="2"/>
              <w:left w:val="single" w:color="1E293B" w:sz="2"/>
              <w:bottom w:val="single" w:color="1E293B" w:sz="2"/>
              <w:right w:val="single" w:color="1E293B" w:sz="2"/>
            </w:tcBorders>
            <w:shd w:fill="0F172A" w:val="clear"/>
            <w:tcMar>
              <w:top w:type="dxa" w:w="60"/>
              <w:left w:type="dxa" w:w="200"/>
              <w:bottom w:type="dxa" w:w="0"/>
              <w:right w:type="dxa" w:w="160"/>
            </w:tcMar>
          </w:tcPr>
          <w:p>
            <w:pPr>
              <w:spacing w:before="0" w:after="0"/>
            </w:pPr>
            <w:r>
              <w:rPr>
                <w:rFonts w:ascii="Courier New" w:cs="Courier New" w:eastAsia="Courier New" w:hAnsi="Courier New"/>
                <w:color w:val="64748B"/>
                <w:sz w:val="16"/>
                <w:szCs w:val="16"/>
              </w:rPr>
              <w:t xml:space="preserve"/>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WRONG — SQL injection vulnerability. This will be caught in code review.</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const invoice = await db.query(</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`SELECT * FROM invoices WHERE id = '${invoiceId}'`  // NEVER DO THIS</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CORRECT — parameterised query. The only acceptable pattern.</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const invoice = await db.query(</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'SELECT * FROM invoices WHERE id = $1 AND supplier_id = $2',</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[invoiceId, supplierId]</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CORRECT — using the shared query helper (preferred)</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import { query } from '../shared/database/pool';</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const invoice = await query&lt;Invoice&gt;(</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'SELECT * FROM invoices WHERE id = $1',</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[invoiceId]</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w:t>
            </w:r>
          </w:p>
        </w:tc>
      </w:tr>
      <w:tr>
        <w:tc>
          <w:tcPr>
            <w:tcW w:type="dxa" w:w="9026"/>
            <w:tcBorders>
              <w:top w:val="single" w:color="1E293B" w:sz="2"/>
              <w:left w:val="single" w:color="1E293B" w:sz="2"/>
              <w:bottom w:val="single" w:color="1E293B" w:sz="2"/>
              <w:right w:val="single" w:color="1E293B" w:sz="2"/>
            </w:tcBorders>
            <w:shd w:fill="0F172A" w:val="clear"/>
            <w:tcMar>
              <w:top w:type="dxa" w:w="0"/>
              <w:left w:type="dxa" w:w="200"/>
              <w:bottom w:type="dxa" w:w="60"/>
              <w:right w:type="dxa" w:w="160"/>
            </w:tcMar>
          </w:tcPr>
          <w:p>
            <w:pPr>
              <w:spacing w:before="0" w:after="0"/>
            </w:pPr>
            <w:r>
              <w:rPr>
                <w:rFonts w:ascii="Courier New" w:cs="Courier New" w:eastAsia="Courier New" w:hAnsi="Courier New"/>
                <w:sz w:val="16"/>
                <w:szCs w:val="16"/>
              </w:rPr>
              <w:t xml:space="preserve"/>
            </w:r>
          </w:p>
        </w:tc>
      </w:tr>
    </w:tbl>
    <w:p>
      <w:pPr>
        <w:spacing w:before="0" w:after="140"/>
      </w:pPr>
      <w:r>
        <w:t xml:space="preserve"/>
      </w:r>
    </w:p>
    <w:p>
      <w:pPr>
        <w:pStyle w:val="Heading2"/>
        <w:pBdr>
          <w:bottom w:val="single" w:color="D1D5DB" w:sz="4" w:space="4"/>
        </w:pBdr>
        <w:spacing w:before="320" w:after="120"/>
      </w:pPr>
      <w:r>
        <w:rPr>
          <w:rFonts w:ascii="Arial" w:cs="Arial" w:eastAsia="Arial" w:hAnsi="Arial"/>
          <w:b/>
          <w:bCs/>
          <w:color w:val="1A3A5C"/>
          <w:sz w:val="28"/>
          <w:szCs w:val="28"/>
        </w:rPr>
        <w:t xml:space="preserve">Rule 3 — No PII in Logs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293B" w:sz="2"/>
              <w:left w:val="single" w:color="1E293B" w:sz="2"/>
              <w:bottom w:val="single" w:color="1E293B" w:sz="2"/>
              <w:right w:val="single" w:color="1E293B" w:sz="2"/>
            </w:tcBorders>
            <w:shd w:fill="0F172A" w:val="clear"/>
            <w:tcMar>
              <w:top w:type="dxa" w:w="60"/>
              <w:left w:type="dxa" w:w="200"/>
              <w:bottom w:type="dxa" w:w="0"/>
              <w:right w:type="dxa" w:w="160"/>
            </w:tcMar>
          </w:tcPr>
          <w:p>
            <w:pPr>
              <w:spacing w:before="0" w:after="0"/>
            </w:pPr>
            <w:r>
              <w:rPr>
                <w:rFonts w:ascii="Courier New" w:cs="Courier New" w:eastAsia="Courier New" w:hAnsi="Courier New"/>
                <w:color w:val="64748B"/>
                <w:sz w:val="16"/>
                <w:szCs w:val="16"/>
              </w:rPr>
              <w:t xml:space="preserve"/>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WRONG — logs supplier name and account number. Audit log breach.</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logger.info(`Supplier ${supplier.companyName} registered with bank account ${supplier.bankAccountNumber}`);</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CORRECT — log IDs and actions only, never personal data</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logger.info('Supplier registration completed', {</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supplierId: supplier.id,</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action: 'SUPPLIER_REGISTERED',</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kycStatus: supplier.kycStatus</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 companyName: NEVER</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 bankAccountNumber: NEVER</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 email: NEVER</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 phone: NEVER</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w:t>
            </w:r>
          </w:p>
        </w:tc>
      </w:tr>
      <w:tr>
        <w:tc>
          <w:tcPr>
            <w:tcW w:type="dxa" w:w="9026"/>
            <w:tcBorders>
              <w:top w:val="single" w:color="1E293B" w:sz="2"/>
              <w:left w:val="single" w:color="1E293B" w:sz="2"/>
              <w:bottom w:val="single" w:color="1E293B" w:sz="2"/>
              <w:right w:val="single" w:color="1E293B" w:sz="2"/>
            </w:tcBorders>
            <w:shd w:fill="0F172A" w:val="clear"/>
            <w:tcMar>
              <w:top w:type="dxa" w:w="0"/>
              <w:left w:type="dxa" w:w="200"/>
              <w:bottom w:type="dxa" w:w="60"/>
              <w:right w:type="dxa" w:w="160"/>
            </w:tcMar>
          </w:tcPr>
          <w:p>
            <w:pPr>
              <w:spacing w:before="0" w:after="0"/>
            </w:pPr>
            <w:r>
              <w:rPr>
                <w:rFonts w:ascii="Courier New" w:cs="Courier New" w:eastAsia="Courier New" w:hAnsi="Courier New"/>
                <w:sz w:val="16"/>
                <w:szCs w:val="16"/>
              </w:rPr>
              <w:t xml:space="preserve"/>
            </w:r>
          </w:p>
        </w:tc>
      </w:tr>
    </w:tbl>
    <w:p>
      <w:pPr>
        <w:spacing w:before="0" w:after="140"/>
      </w:pPr>
      <w:r>
        <w:t xml:space="preserve"/>
      </w:r>
    </w:p>
    <w:p>
      <w:pPr>
        <w:pStyle w:val="Heading2"/>
        <w:pBdr>
          <w:bottom w:val="single" w:color="D1D5DB" w:sz="4" w:space="4"/>
        </w:pBdr>
        <w:spacing w:before="320" w:after="120"/>
      </w:pPr>
      <w:r>
        <w:rPr>
          <w:rFonts w:ascii="Arial" w:cs="Arial" w:eastAsia="Arial" w:hAnsi="Arial"/>
          <w:b/>
          <w:bCs/>
          <w:color w:val="1A3A5C"/>
          <w:sz w:val="28"/>
          <w:szCs w:val="28"/>
        </w:rPr>
        <w:t xml:space="preserve">Rule 4 — Audit Log Before Return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293B" w:sz="2"/>
              <w:left w:val="single" w:color="1E293B" w:sz="2"/>
              <w:bottom w:val="single" w:color="1E293B" w:sz="2"/>
              <w:right w:val="single" w:color="1E293B" w:sz="2"/>
            </w:tcBorders>
            <w:shd w:fill="0F172A" w:val="clear"/>
            <w:tcMar>
              <w:top w:type="dxa" w:w="60"/>
              <w:left w:type="dxa" w:w="200"/>
              <w:bottom w:type="dxa" w:w="0"/>
              <w:right w:type="dxa" w:w="160"/>
            </w:tcMar>
          </w:tcPr>
          <w:p>
            <w:pPr>
              <w:spacing w:before="0" w:after="0"/>
            </w:pPr>
            <w:r>
              <w:rPr>
                <w:rFonts w:ascii="Courier New" w:cs="Courier New" w:eastAsia="Courier New" w:hAnsi="Courier New"/>
                <w:color w:val="64748B"/>
                <w:sz w:val="16"/>
                <w:szCs w:val="16"/>
              </w:rPr>
              <w:t xml:space="preserve"/>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WRONG — audit log missing. Compliance failure.</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async function approveInvoice(invoiceId: string, approverId: string) {</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await invoiceRepository.updateStatus(invoiceId, 'approved');</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return { success: true };</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CORRECT — audit log written before function returns</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async function approveInvoice(invoiceId: string, approverId: string, comments: string) {</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await invoiceRepository.updateStatus(invoiceId, 'approved');</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await auditRepository.write({</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userId: approverId,</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action: 'INVOICE_APPROVED',</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tableName: 'invoices',</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recordId: invoiceId,</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newValues: { status: 'approved', comments },</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timestamp: new Date()</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return { success: true };</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w:t>
            </w:r>
          </w:p>
        </w:tc>
      </w:tr>
      <w:tr>
        <w:tc>
          <w:tcPr>
            <w:tcW w:type="dxa" w:w="9026"/>
            <w:tcBorders>
              <w:top w:val="single" w:color="1E293B" w:sz="2"/>
              <w:left w:val="single" w:color="1E293B" w:sz="2"/>
              <w:bottom w:val="single" w:color="1E293B" w:sz="2"/>
              <w:right w:val="single" w:color="1E293B" w:sz="2"/>
            </w:tcBorders>
            <w:shd w:fill="0F172A" w:val="clear"/>
            <w:tcMar>
              <w:top w:type="dxa" w:w="0"/>
              <w:left w:type="dxa" w:w="200"/>
              <w:bottom w:type="dxa" w:w="60"/>
              <w:right w:type="dxa" w:w="160"/>
            </w:tcMar>
          </w:tcPr>
          <w:p>
            <w:pPr>
              <w:spacing w:before="0" w:after="0"/>
            </w:pPr>
            <w:r>
              <w:rPr>
                <w:rFonts w:ascii="Courier New" w:cs="Courier New" w:eastAsia="Courier New" w:hAnsi="Courier New"/>
                <w:sz w:val="16"/>
                <w:szCs w:val="16"/>
              </w:rPr>
              <w:t xml:space="preserve"/>
            </w:r>
          </w:p>
        </w:tc>
      </w:tr>
    </w:tbl>
    <w:p>
      <w:pPr>
        <w:spacing w:before="0" w:after="140"/>
      </w:pPr>
      <w:r>
        <w:t xml:space="preserve"/>
      </w:r>
    </w:p>
    <w:p>
      <w:pPr>
        <w:pStyle w:val="Heading2"/>
        <w:pBdr>
          <w:bottom w:val="single" w:color="D1D5DB" w:sz="4" w:space="4"/>
        </w:pBdr>
        <w:spacing w:before="320" w:after="120"/>
      </w:pPr>
      <w:r>
        <w:rPr>
          <w:rFonts w:ascii="Arial" w:cs="Arial" w:eastAsia="Arial" w:hAnsi="Arial"/>
          <w:b/>
          <w:bCs/>
          <w:color w:val="1A3A5C"/>
          <w:sz w:val="28"/>
          <w:szCs w:val="28"/>
        </w:rPr>
        <w:t xml:space="preserve">Rule 5 — Custom Error Classes 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293B" w:sz="2"/>
              <w:left w:val="single" w:color="1E293B" w:sz="2"/>
              <w:bottom w:val="single" w:color="1E293B" w:sz="2"/>
              <w:right w:val="single" w:color="1E293B" w:sz="2"/>
            </w:tcBorders>
            <w:shd w:fill="0F172A" w:val="clear"/>
            <w:tcMar>
              <w:top w:type="dxa" w:w="60"/>
              <w:left w:type="dxa" w:w="200"/>
              <w:bottom w:type="dxa" w:w="0"/>
              <w:right w:type="dxa" w:w="160"/>
            </w:tcMar>
          </w:tcPr>
          <w:p>
            <w:pPr>
              <w:spacing w:before="0" w:after="0"/>
            </w:pPr>
            <w:r>
              <w:rPr>
                <w:rFonts w:ascii="Courier New" w:cs="Courier New" w:eastAsia="Courier New" w:hAnsi="Courier New"/>
                <w:color w:val="64748B"/>
                <w:sz w:val="16"/>
                <w:szCs w:val="16"/>
              </w:rPr>
              <w:t xml:space="preserve"/>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WRONG — generic Error gives no useful context</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throw new Error('Invoice not found');</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throw new Error('Credit limit exceeded');</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CORRECT — custom error classes with structured data</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import { BusinessRuleError } from '../shared/errors/business.error';</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import { NotFoundError } from '../shared/errors/not-found.error';</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Invoice not found</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throw new NotFoundError('Invoice', invoiceId);</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Business rule violation — carries structured data for API response</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throw new BusinessRuleError(</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'CREDIT_LIMIT_EXCEEDED',</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'This invoice would exceed the buyer credit limit',</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buyerId,</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requestedAmount: invoice.faceValue,</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availableLimit: buyer.approvedLimit - buyer.usedLimit</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w:t>
            </w:r>
          </w:p>
        </w:tc>
      </w:tr>
      <w:tr>
        <w:tc>
          <w:tcPr>
            <w:tcW w:type="dxa" w:w="9026"/>
            <w:tcBorders>
              <w:top w:val="single" w:color="1E293B" w:sz="2"/>
              <w:left w:val="single" w:color="1E293B" w:sz="2"/>
              <w:bottom w:val="single" w:color="1E293B" w:sz="2"/>
              <w:right w:val="single" w:color="1E293B" w:sz="2"/>
            </w:tcBorders>
            <w:shd w:fill="0F172A" w:val="clear"/>
            <w:tcMar>
              <w:top w:type="dxa" w:w="0"/>
              <w:left w:type="dxa" w:w="200"/>
              <w:bottom w:type="dxa" w:w="60"/>
              <w:right w:type="dxa" w:w="160"/>
            </w:tcMar>
          </w:tcPr>
          <w:p>
            <w:pPr>
              <w:spacing w:before="0" w:after="0"/>
            </w:pPr>
            <w:r>
              <w:rPr>
                <w:rFonts w:ascii="Courier New" w:cs="Courier New" w:eastAsia="Courier New" w:hAnsi="Courier New"/>
                <w:sz w:val="16"/>
                <w:szCs w:val="16"/>
              </w:rPr>
              <w:t xml:space="preserve"/>
            </w:r>
          </w:p>
        </w:tc>
      </w:tr>
    </w:tbl>
    <w:p>
      <w:pPr>
        <w:spacing w:before="0" w:after="140"/>
      </w:pPr>
      <w:r>
        <w:t xml:space="preserve"/>
      </w:r>
    </w:p>
    <w:p>
      <w:pPr>
        <w:pStyle w:val="Heading2"/>
        <w:pBdr>
          <w:bottom w:val="single" w:color="D1D5DB" w:sz="4" w:space="4"/>
        </w:pBdr>
        <w:spacing w:before="320" w:after="120"/>
      </w:pPr>
      <w:r>
        <w:rPr>
          <w:rFonts w:ascii="Arial" w:cs="Arial" w:eastAsia="Arial" w:hAnsi="Arial"/>
          <w:b/>
          <w:bCs/>
          <w:color w:val="1A3A5C"/>
          <w:sz w:val="28"/>
          <w:szCs w:val="28"/>
        </w:rPr>
        <w:t xml:space="preserve">Rule 6 — Repository Pattern: SQL Lives in Repository Files 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293B" w:sz="2"/>
              <w:left w:val="single" w:color="1E293B" w:sz="2"/>
              <w:bottom w:val="single" w:color="1E293B" w:sz="2"/>
              <w:right w:val="single" w:color="1E293B" w:sz="2"/>
            </w:tcBorders>
            <w:shd w:fill="0F172A" w:val="clear"/>
            <w:tcMar>
              <w:top w:type="dxa" w:w="60"/>
              <w:left w:type="dxa" w:w="200"/>
              <w:bottom w:type="dxa" w:w="0"/>
              <w:right w:type="dxa" w:w="160"/>
            </w:tcMar>
          </w:tcPr>
          <w:p>
            <w:pPr>
              <w:spacing w:before="0" w:after="0"/>
            </w:pPr>
            <w:r>
              <w:rPr>
                <w:rFonts w:ascii="Courier New" w:cs="Courier New" w:eastAsia="Courier New" w:hAnsi="Courier New"/>
                <w:color w:val="64748B"/>
                <w:sz w:val="16"/>
                <w:szCs w:val="16"/>
              </w:rPr>
              <w:t xml:space="preserve"/>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WRONG — SQL in the controller. Never acceptable.</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invoices.controller.ts</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async function getInvoice(req: Request, res: Response) {</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const result = await db.query('SELECT * FROM invoices WHERE id = $1', [req.params.id]);</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res.json(result.rows[0]);</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CORRECT — controller calls service, service calls repository</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invoices.controller.ts</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async function getInvoice(req: Request, res: Response) {</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const invoice = await invoiceService.findById(req.params.id, req.user.id);</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res.json(invoice);</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invoices.service.ts</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async function findById(invoiceId: string, requestingUserId: string): Promise&lt;Invoice&gt; {</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const invoice = await invoiceRepository.findById(invoiceId);</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if (!invoice) throw new NotFoundError('Invoice', invoiceId);</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if (invoice.supplierId !== requestingUserId) throw new ForbiddenError();</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return invoice;</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invoices.repository.ts  ← ALL SQL LIVES HERE</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async function findById(invoiceId: string): Promise&lt;Invoice | null&gt; {</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const result = await query&lt;Invoice&gt;(</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'SELECT * FROM invoices WHERE id = $1',</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[invoiceId]</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  return result.rows[0] ?? null;</w:t>
            </w:r>
          </w:p>
        </w:tc>
      </w:tr>
      <w:tr>
        <w:tc>
          <w:tcPr>
            <w:tcW w:type="dxa" w:w="9026"/>
            <w:tcBorders>
              <w:top w:val="none" w:color="FFFFFF" w:sz="0"/>
              <w:left w:val="none" w:color="FFFFFF" w:sz="0"/>
              <w:bottom w:val="none" w:color="FFFFFF" w:sz="0"/>
              <w:right w:val="none" w:color="FFFFFF" w:sz="0"/>
            </w:tcBorders>
            <w:tcMar>
              <w:top w:type="dxa" w:w="30"/>
              <w:left w:type="dxa" w:w="200"/>
              <w:bottom w:type="dxa" w:w="30"/>
              <w:right w:type="dxa" w:w="160"/>
            </w:tcMar>
          </w:tcPr>
          <w:p>
            <w:pPr>
              <w:spacing w:before="0" w:after="0"/>
            </w:pPr>
            <w:r>
              <w:rPr>
                <w:rFonts w:ascii="Courier New" w:cs="Courier New" w:eastAsia="Courier New" w:hAnsi="Courier New"/>
                <w:color w:val="A8D8A8"/>
                <w:sz w:val="19"/>
                <w:szCs w:val="19"/>
              </w:rPr>
              <w:t xml:space="preserve">}</w:t>
            </w:r>
          </w:p>
        </w:tc>
      </w:tr>
      <w:tr>
        <w:tc>
          <w:tcPr>
            <w:tcW w:type="dxa" w:w="9026"/>
            <w:tcBorders>
              <w:top w:val="single" w:color="1E293B" w:sz="2"/>
              <w:left w:val="single" w:color="1E293B" w:sz="2"/>
              <w:bottom w:val="single" w:color="1E293B" w:sz="2"/>
              <w:right w:val="single" w:color="1E293B" w:sz="2"/>
            </w:tcBorders>
            <w:shd w:fill="0F172A" w:val="clear"/>
            <w:tcMar>
              <w:top w:type="dxa" w:w="0"/>
              <w:left w:type="dxa" w:w="200"/>
              <w:bottom w:type="dxa" w:w="60"/>
              <w:right w:type="dxa" w:w="160"/>
            </w:tcMar>
          </w:tcPr>
          <w:p>
            <w:pPr>
              <w:spacing w:before="0" w:after="0"/>
            </w:pPr>
            <w:r>
              <w:rPr>
                <w:rFonts w:ascii="Courier New" w:cs="Courier New" w:eastAsia="Courier New" w:hAnsi="Courier New"/>
                <w:sz w:val="16"/>
                <w:szCs w:val="16"/>
              </w:rPr>
              <w:t xml:space="preserve"/>
            </w:r>
          </w:p>
        </w:tc>
      </w:tr>
    </w:tbl>
    <w:p>
      <w:pPr>
        <w:spacing w:before="0" w:after="140"/>
      </w:pPr>
      <w:r>
        <w:t xml:space="preserve"/>
      </w:r>
    </w:p>
    <w:p>
      <w:pPr>
        <w:pStyle w:val="Heading2"/>
        <w:pBdr>
          <w:bottom w:val="single" w:color="D1D5DB" w:sz="4" w:space="4"/>
        </w:pBdr>
        <w:spacing w:before="320" w:after="120"/>
      </w:pPr>
      <w:r>
        <w:rPr>
          <w:rFonts w:ascii="Arial" w:cs="Arial" w:eastAsia="Arial" w:hAnsi="Arial"/>
          <w:b/>
          <w:bCs/>
          <w:color w:val="1A3A5C"/>
          <w:sz w:val="28"/>
          <w:szCs w:val="28"/>
        </w:rPr>
        <w:t xml:space="preserve">Rule 7 — Function Size: Maximum 25 Lines</w:t>
      </w:r>
    </w:p>
    <w:p>
      <w:pPr>
        <w:spacing w:before="60" w:after="100"/>
        <w:jc w:val="left"/>
      </w:pPr>
      <w:r>
        <w:rPr>
          <w:rFonts w:ascii="Arial" w:cs="Arial" w:eastAsia="Arial" w:hAnsi="Arial"/>
          <w:b w:val="false"/>
          <w:bCs w:val="false"/>
          <w:i w:val="false"/>
          <w:iCs w:val="false"/>
          <w:color w:val="374151"/>
          <w:sz w:val="22"/>
          <w:szCs w:val="22"/>
        </w:rPr>
        <w:t xml:space="preserve">If a function exceeds 25 lines, it is doing more than one thing. Extract the additional responsibility into a separate named function. Named functions are self-documenting and testable in isolation.</w:t>
      </w:r>
    </w:p>
    <w:p>
      <w:pPr>
        <w:spacing w:before="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54F0B" w:sz="6"/>
              <w:left w:val="single" w:color="854F0B" w:sz="16"/>
              <w:bottom w:val="single" w:color="854F0B" w:sz="2"/>
              <w:right w:val="single" w:color="854F0B" w:sz="2"/>
            </w:tcBorders>
            <w:shd w:fill="FFFBEB" w:val="clear"/>
            <w:tcMar>
              <w:top w:type="dxa" w:w="120"/>
              <w:left w:type="dxa" w:w="200"/>
              <w:bottom w:type="dxa" w:w="120"/>
              <w:right w:type="dxa" w:w="160"/>
            </w:tcMar>
          </w:tcPr>
          <w:p>
            <w:pPr>
              <w:spacing w:before="0" w:after="0"/>
            </w:pPr>
            <w:r>
              <w:rPr>
                <w:rFonts w:ascii="Arial" w:cs="Arial" w:eastAsia="Arial" w:hAnsi="Arial"/>
                <w:color w:val="854F0B"/>
                <w:sz w:val="21"/>
                <w:szCs w:val="21"/>
              </w:rPr>
              <w:t xml:space="preserve">The payment execution functions are the only exception — they may be up to 40 lines because payment steps must remain in an explicit, auditable sequence in one place. This exception does not apply to any other module.</w:t>
            </w:r>
          </w:p>
        </w:tc>
      </w:tr>
    </w:tbl>
    <w:p>
      <w:pPr>
        <w:spacing w:before="0" w:after="0"/>
      </w:pPr>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3A5C" w:val="clear"/>
            <w:tcMar>
              <w:top w:type="dxa" w:w="120"/>
              <w:left w:type="dxa" w:w="240"/>
              <w:bottom w:type="dxa" w:w="120"/>
              <w:right w:type="dxa" w:w="160"/>
            </w:tcMar>
          </w:tcPr>
          <w:p>
            <w:pPr>
              <w:spacing w:before="0" w:after="0"/>
            </w:pPr>
            <w:r>
              <w:rPr>
                <w:rFonts w:ascii="Arial" w:cs="Arial" w:eastAsia="Arial" w:hAnsi="Arial"/>
                <w:b/>
                <w:bCs/>
                <w:color w:val="FFFFFF"/>
                <w:sz w:val="24"/>
                <w:szCs w:val="24"/>
              </w:rPr>
              <w:t xml:space="preserve">Section 5 — Definition of Done: When is Work Actually Finished?</w:t>
            </w:r>
          </w:p>
        </w:tc>
      </w:tr>
    </w:tbl>
    <w:p>
      <w:pPr>
        <w:spacing w:before="0" w:after="160"/>
      </w:pPr>
      <w:r>
        <w:t xml:space="preserve"/>
      </w:r>
    </w:p>
    <w:p>
      <w:pPr>
        <w:spacing w:before="60" w:after="100"/>
        <w:jc w:val="left"/>
      </w:pPr>
      <w:r>
        <w:rPr>
          <w:rFonts w:ascii="Arial" w:cs="Arial" w:eastAsia="Arial" w:hAnsi="Arial"/>
          <w:b w:val="false"/>
          <w:bCs w:val="false"/>
          <w:i w:val="false"/>
          <w:iCs w:val="false"/>
          <w:color w:val="374151"/>
          <w:sz w:val="22"/>
          <w:szCs w:val="22"/>
        </w:rPr>
        <w:t xml:space="preserve">'Done' means the same thing to every person on the MMS team. A module is done when every item below is checked. If even one item is unchecked, the module is not done. There are no exceptions for time pressure on a financial system.</w:t>
      </w:r>
    </w:p>
    <w:p>
      <w:pPr>
        <w:spacing w:before="0" w:after="140"/>
      </w:pPr>
      <w:r>
        <w:t xml:space="preserve"/>
      </w:r>
    </w:p>
    <w:p>
      <w:pPr>
        <w:pStyle w:val="Heading2"/>
        <w:pBdr>
          <w:bottom w:val="single" w:color="D1D5DB" w:sz="4" w:space="4"/>
        </w:pBdr>
        <w:spacing w:before="320" w:after="120"/>
      </w:pPr>
      <w:r>
        <w:rPr>
          <w:rFonts w:ascii="Arial" w:cs="Arial" w:eastAsia="Arial" w:hAnsi="Arial"/>
          <w:b/>
          <w:bCs/>
          <w:color w:val="1A3A5C"/>
          <w:sz w:val="28"/>
          <w:szCs w:val="28"/>
        </w:rPr>
        <w:t xml:space="preserve">Module-Level Definition of Done</w:t>
      </w:r>
    </w:p>
    <w:p>
      <w:pPr>
        <w:spacing w:before="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8526"/>
      </w:tblGrid>
      <w:tr>
        <w:tc>
          <w:tcPr>
            <w:tcW w:type="dxa" w:w="50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vAlign w:val="center"/>
          </w:tcPr>
          <w:p>
            <w:pPr>
              <w:spacing w:before="0" w:after="0"/>
              <w:jc w:val="center"/>
            </w:pPr>
            <w:r>
              <w:rPr>
                <w:rFonts w:ascii="Arial" w:cs="Arial" w:eastAsia="Arial" w:hAnsi="Arial"/>
                <w:color w:val="6B7280"/>
                <w:sz w:val="22"/>
                <w:szCs w:val="22"/>
              </w:rPr>
              <w:t xml:space="preserve">☐</w:t>
            </w:r>
          </w:p>
        </w:tc>
        <w:tc>
          <w:tcPr>
            <w:tcW w:type="dxa" w:w="8526"/>
            <w:tcBorders>
              <w:top w:val="single" w:color="D1D5DB" w:sz="1"/>
              <w:left w:val="single" w:color="D1D5DB" w:sz="1"/>
              <w:bottom w:val="single" w:color="D1D5DB" w:sz="1"/>
              <w:right w:val="single" w:color="D1D5DB" w:sz="1"/>
            </w:tcBorders>
            <w:tcMar>
              <w:top w:type="dxa" w:w="80"/>
              <w:left w:type="dxa" w:w="140"/>
              <w:bottom w:type="dxa" w:w="80"/>
              <w:right w:type="dxa" w:w="100"/>
            </w:tcMar>
          </w:tcPr>
          <w:p>
            <w:pPr>
              <w:spacing w:before="0" w:after="40"/>
            </w:pPr>
            <w:r>
              <w:rPr>
                <w:rFonts w:ascii="Arial" w:cs="Arial" w:eastAsia="Arial" w:hAnsi="Arial"/>
                <w:b/>
                <w:bCs/>
                <w:color w:val="1A3A5C"/>
                <w:sz w:val="21"/>
                <w:szCs w:val="21"/>
              </w:rPr>
              <w:t xml:space="preserve">Implementation matches the SRS requirement</w:t>
            </w:r>
          </w:p>
          <w:p>
            <w:pPr>
              <w:spacing w:before="0" w:after="0"/>
            </w:pPr>
            <w:r>
              <w:rPr>
                <w:rFonts w:ascii="Arial" w:cs="Arial" w:eastAsia="Arial" w:hAnsi="Arial"/>
                <w:color w:val="374151"/>
                <w:sz w:val="20"/>
                <w:szCs w:val="20"/>
              </w:rPr>
              <w:t xml:space="preserve">Every REQ-MODULE-NUMBER referenced in the module is satisfied. Cross-reference with the SRS document.</w:t>
            </w:r>
          </w:p>
        </w:tc>
      </w:tr>
    </w:tbl>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8526"/>
      </w:tblGrid>
      <w:tr>
        <w:tc>
          <w:tcPr>
            <w:tcW w:type="dxa" w:w="50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vAlign w:val="center"/>
          </w:tcPr>
          <w:p>
            <w:pPr>
              <w:spacing w:before="0" w:after="0"/>
              <w:jc w:val="center"/>
            </w:pPr>
            <w:r>
              <w:rPr>
                <w:rFonts w:ascii="Arial" w:cs="Arial" w:eastAsia="Arial" w:hAnsi="Arial"/>
                <w:color w:val="6B7280"/>
                <w:sz w:val="22"/>
                <w:szCs w:val="22"/>
              </w:rPr>
              <w:t xml:space="preserve">☐</w:t>
            </w:r>
          </w:p>
        </w:tc>
        <w:tc>
          <w:tcPr>
            <w:tcW w:type="dxa" w:w="8526"/>
            <w:tcBorders>
              <w:top w:val="single" w:color="D1D5DB" w:sz="1"/>
              <w:left w:val="single" w:color="D1D5DB" w:sz="1"/>
              <w:bottom w:val="single" w:color="D1D5DB" w:sz="1"/>
              <w:right w:val="single" w:color="D1D5DB" w:sz="1"/>
            </w:tcBorders>
            <w:tcMar>
              <w:top w:type="dxa" w:w="80"/>
              <w:left w:type="dxa" w:w="140"/>
              <w:bottom w:type="dxa" w:w="80"/>
              <w:right w:type="dxa" w:w="100"/>
            </w:tcMar>
          </w:tcPr>
          <w:p>
            <w:pPr>
              <w:spacing w:before="0" w:after="40"/>
            </w:pPr>
            <w:r>
              <w:rPr>
                <w:rFonts w:ascii="Arial" w:cs="Arial" w:eastAsia="Arial" w:hAnsi="Arial"/>
                <w:b/>
                <w:bCs/>
                <w:color w:val="1A3A5C"/>
                <w:sz w:val="21"/>
                <w:szCs w:val="21"/>
              </w:rPr>
              <w:t xml:space="preserve">Endpoints match openapi.yaml exactly</w:t>
            </w:r>
          </w:p>
          <w:p>
            <w:pPr>
              <w:spacing w:before="0" w:after="0"/>
            </w:pPr>
            <w:r>
              <w:rPr>
                <w:rFonts w:ascii="Arial" w:cs="Arial" w:eastAsia="Arial" w:hAnsi="Arial"/>
                <w:color w:val="374151"/>
                <w:sz w:val="20"/>
                <w:szCs w:val="20"/>
              </w:rPr>
              <w:t xml:space="preserve">Request format, response format, and error codes match the API contract. No improvised endpoints.</w:t>
            </w:r>
          </w:p>
        </w:tc>
      </w:tr>
    </w:tbl>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8526"/>
      </w:tblGrid>
      <w:tr>
        <w:tc>
          <w:tcPr>
            <w:tcW w:type="dxa" w:w="50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vAlign w:val="center"/>
          </w:tcPr>
          <w:p>
            <w:pPr>
              <w:spacing w:before="0" w:after="0"/>
              <w:jc w:val="center"/>
            </w:pPr>
            <w:r>
              <w:rPr>
                <w:rFonts w:ascii="Arial" w:cs="Arial" w:eastAsia="Arial" w:hAnsi="Arial"/>
                <w:color w:val="6B7280"/>
                <w:sz w:val="22"/>
                <w:szCs w:val="22"/>
              </w:rPr>
              <w:t xml:space="preserve">☐</w:t>
            </w:r>
          </w:p>
        </w:tc>
        <w:tc>
          <w:tcPr>
            <w:tcW w:type="dxa" w:w="8526"/>
            <w:tcBorders>
              <w:top w:val="single" w:color="D1D5DB" w:sz="1"/>
              <w:left w:val="single" w:color="D1D5DB" w:sz="1"/>
              <w:bottom w:val="single" w:color="D1D5DB" w:sz="1"/>
              <w:right w:val="single" w:color="D1D5DB" w:sz="1"/>
            </w:tcBorders>
            <w:tcMar>
              <w:top w:type="dxa" w:w="80"/>
              <w:left w:type="dxa" w:w="140"/>
              <w:bottom w:type="dxa" w:w="80"/>
              <w:right w:type="dxa" w:w="100"/>
            </w:tcMar>
          </w:tcPr>
          <w:p>
            <w:pPr>
              <w:spacing w:before="0" w:after="40"/>
            </w:pPr>
            <w:r>
              <w:rPr>
                <w:rFonts w:ascii="Arial" w:cs="Arial" w:eastAsia="Arial" w:hAnsi="Arial"/>
                <w:b/>
                <w:bCs/>
                <w:color w:val="1A3A5C"/>
                <w:sz w:val="21"/>
                <w:szCs w:val="21"/>
              </w:rPr>
              <w:t xml:space="preserve">OWASP security review passed</w:t>
            </w:r>
          </w:p>
          <w:p>
            <w:pPr>
              <w:spacing w:before="0" w:after="0"/>
            </w:pPr>
            <w:r>
              <w:rPr>
                <w:rFonts w:ascii="Arial" w:cs="Arial" w:eastAsia="Arial" w:hAnsi="Arial"/>
                <w:color w:val="374151"/>
                <w:sz w:val="20"/>
                <w:szCs w:val="20"/>
              </w:rPr>
              <w:t xml:space="preserve">The Claude Desktop security review prompt has been run against all module code. All HIGH findings are resolved.</w:t>
            </w:r>
          </w:p>
        </w:tc>
      </w:tr>
    </w:tbl>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8526"/>
      </w:tblGrid>
      <w:tr>
        <w:tc>
          <w:tcPr>
            <w:tcW w:type="dxa" w:w="50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vAlign w:val="center"/>
          </w:tcPr>
          <w:p>
            <w:pPr>
              <w:spacing w:before="0" w:after="0"/>
              <w:jc w:val="center"/>
            </w:pPr>
            <w:r>
              <w:rPr>
                <w:rFonts w:ascii="Arial" w:cs="Arial" w:eastAsia="Arial" w:hAnsi="Arial"/>
                <w:color w:val="6B7280"/>
                <w:sz w:val="22"/>
                <w:szCs w:val="22"/>
              </w:rPr>
              <w:t xml:space="preserve">☐</w:t>
            </w:r>
          </w:p>
        </w:tc>
        <w:tc>
          <w:tcPr>
            <w:tcW w:type="dxa" w:w="8526"/>
            <w:tcBorders>
              <w:top w:val="single" w:color="D1D5DB" w:sz="1"/>
              <w:left w:val="single" w:color="D1D5DB" w:sz="1"/>
              <w:bottom w:val="single" w:color="D1D5DB" w:sz="1"/>
              <w:right w:val="single" w:color="D1D5DB" w:sz="1"/>
            </w:tcBorders>
            <w:tcMar>
              <w:top w:type="dxa" w:w="80"/>
              <w:left w:type="dxa" w:w="140"/>
              <w:bottom w:type="dxa" w:w="80"/>
              <w:right w:type="dxa" w:w="100"/>
            </w:tcMar>
          </w:tcPr>
          <w:p>
            <w:pPr>
              <w:spacing w:before="0" w:after="40"/>
            </w:pPr>
            <w:r>
              <w:rPr>
                <w:rFonts w:ascii="Arial" w:cs="Arial" w:eastAsia="Arial" w:hAnsi="Arial"/>
                <w:b/>
                <w:bCs/>
                <w:color w:val="1A3A5C"/>
                <w:sz w:val="21"/>
                <w:szCs w:val="21"/>
              </w:rPr>
              <w:t xml:space="preserve">OWASP ZAP scan passed</w:t>
            </w:r>
          </w:p>
          <w:p>
            <w:pPr>
              <w:spacing w:before="0" w:after="0"/>
            </w:pPr>
            <w:r>
              <w:rPr>
                <w:rFonts w:ascii="Arial" w:cs="Arial" w:eastAsia="Arial" w:hAnsi="Arial"/>
                <w:color w:val="374151"/>
                <w:sz w:val="20"/>
                <w:szCs w:val="20"/>
              </w:rPr>
              <w:t xml:space="preserve">ZAP scan run against module endpoints. No HIGH risk findings remain.</w:t>
            </w:r>
          </w:p>
        </w:tc>
      </w:tr>
    </w:tbl>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8526"/>
      </w:tblGrid>
      <w:tr>
        <w:tc>
          <w:tcPr>
            <w:tcW w:type="dxa" w:w="50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vAlign w:val="center"/>
          </w:tcPr>
          <w:p>
            <w:pPr>
              <w:spacing w:before="0" w:after="0"/>
              <w:jc w:val="center"/>
            </w:pPr>
            <w:r>
              <w:rPr>
                <w:rFonts w:ascii="Arial" w:cs="Arial" w:eastAsia="Arial" w:hAnsi="Arial"/>
                <w:color w:val="6B7280"/>
                <w:sz w:val="22"/>
                <w:szCs w:val="22"/>
              </w:rPr>
              <w:t xml:space="preserve">☐</w:t>
            </w:r>
          </w:p>
        </w:tc>
        <w:tc>
          <w:tcPr>
            <w:tcW w:type="dxa" w:w="8526"/>
            <w:tcBorders>
              <w:top w:val="single" w:color="D1D5DB" w:sz="1"/>
              <w:left w:val="single" w:color="D1D5DB" w:sz="1"/>
              <w:bottom w:val="single" w:color="D1D5DB" w:sz="1"/>
              <w:right w:val="single" w:color="D1D5DB" w:sz="1"/>
            </w:tcBorders>
            <w:tcMar>
              <w:top w:type="dxa" w:w="80"/>
              <w:left w:type="dxa" w:w="140"/>
              <w:bottom w:type="dxa" w:w="80"/>
              <w:right w:type="dxa" w:w="100"/>
            </w:tcMar>
          </w:tcPr>
          <w:p>
            <w:pPr>
              <w:spacing w:before="0" w:after="40"/>
            </w:pPr>
            <w:r>
              <w:rPr>
                <w:rFonts w:ascii="Arial" w:cs="Arial" w:eastAsia="Arial" w:hAnsi="Arial"/>
                <w:b/>
                <w:bCs/>
                <w:color w:val="1A3A5C"/>
                <w:sz w:val="21"/>
                <w:szCs w:val="21"/>
              </w:rPr>
              <w:t xml:space="preserve">Unit tests written — 80%+ coverage</w:t>
            </w:r>
          </w:p>
          <w:p>
            <w:pPr>
              <w:spacing w:before="0" w:after="0"/>
            </w:pPr>
            <w:r>
              <w:rPr>
                <w:rFonts w:ascii="Arial" w:cs="Arial" w:eastAsia="Arial" w:hAnsi="Arial"/>
                <w:color w:val="374151"/>
                <w:sz w:val="20"/>
                <w:szCs w:val="20"/>
              </w:rPr>
              <w:t xml:space="preserve">Jest coverage report shows 80% or above for the module. Payment Engine and Risk Engine require 95%+.</w:t>
            </w:r>
          </w:p>
        </w:tc>
      </w:tr>
    </w:tbl>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8526"/>
      </w:tblGrid>
      <w:tr>
        <w:tc>
          <w:tcPr>
            <w:tcW w:type="dxa" w:w="50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vAlign w:val="center"/>
          </w:tcPr>
          <w:p>
            <w:pPr>
              <w:spacing w:before="0" w:after="0"/>
              <w:jc w:val="center"/>
            </w:pPr>
            <w:r>
              <w:rPr>
                <w:rFonts w:ascii="Arial" w:cs="Arial" w:eastAsia="Arial" w:hAnsi="Arial"/>
                <w:color w:val="6B7280"/>
                <w:sz w:val="22"/>
                <w:szCs w:val="22"/>
              </w:rPr>
              <w:t xml:space="preserve">☐</w:t>
            </w:r>
          </w:p>
        </w:tc>
        <w:tc>
          <w:tcPr>
            <w:tcW w:type="dxa" w:w="8526"/>
            <w:tcBorders>
              <w:top w:val="single" w:color="D1D5DB" w:sz="1"/>
              <w:left w:val="single" w:color="D1D5DB" w:sz="1"/>
              <w:bottom w:val="single" w:color="D1D5DB" w:sz="1"/>
              <w:right w:val="single" w:color="D1D5DB" w:sz="1"/>
            </w:tcBorders>
            <w:tcMar>
              <w:top w:type="dxa" w:w="80"/>
              <w:left w:type="dxa" w:w="140"/>
              <w:bottom w:type="dxa" w:w="80"/>
              <w:right w:type="dxa" w:w="100"/>
            </w:tcMar>
          </w:tcPr>
          <w:p>
            <w:pPr>
              <w:spacing w:before="0" w:after="40"/>
            </w:pPr>
            <w:r>
              <w:rPr>
                <w:rFonts w:ascii="Arial" w:cs="Arial" w:eastAsia="Arial" w:hAnsi="Arial"/>
                <w:b/>
                <w:bCs/>
                <w:color w:val="1A3A5C"/>
                <w:sz w:val="21"/>
                <w:szCs w:val="21"/>
              </w:rPr>
              <w:t xml:space="preserve">Integration tests written</w:t>
            </w:r>
          </w:p>
          <w:p>
            <w:pPr>
              <w:spacing w:before="0" w:after="0"/>
            </w:pPr>
            <w:r>
              <w:rPr>
                <w:rFonts w:ascii="Arial" w:cs="Arial" w:eastAsia="Arial" w:hAnsi="Arial"/>
                <w:color w:val="374151"/>
                <w:sz w:val="20"/>
                <w:szCs w:val="20"/>
              </w:rPr>
              <w:t xml:space="preserve">Full happy path and all failure paths tested via Supertest against a real test database.</w:t>
            </w:r>
          </w:p>
        </w:tc>
      </w:tr>
    </w:tbl>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8526"/>
      </w:tblGrid>
      <w:tr>
        <w:tc>
          <w:tcPr>
            <w:tcW w:type="dxa" w:w="50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vAlign w:val="center"/>
          </w:tcPr>
          <w:p>
            <w:pPr>
              <w:spacing w:before="0" w:after="0"/>
              <w:jc w:val="center"/>
            </w:pPr>
            <w:r>
              <w:rPr>
                <w:rFonts w:ascii="Arial" w:cs="Arial" w:eastAsia="Arial" w:hAnsi="Arial"/>
                <w:color w:val="6B7280"/>
                <w:sz w:val="22"/>
                <w:szCs w:val="22"/>
              </w:rPr>
              <w:t xml:space="preserve">☐</w:t>
            </w:r>
          </w:p>
        </w:tc>
        <w:tc>
          <w:tcPr>
            <w:tcW w:type="dxa" w:w="8526"/>
            <w:tcBorders>
              <w:top w:val="single" w:color="D1D5DB" w:sz="1"/>
              <w:left w:val="single" w:color="D1D5DB" w:sz="1"/>
              <w:bottom w:val="single" w:color="D1D5DB" w:sz="1"/>
              <w:right w:val="single" w:color="D1D5DB" w:sz="1"/>
            </w:tcBorders>
            <w:tcMar>
              <w:top w:type="dxa" w:w="80"/>
              <w:left w:type="dxa" w:w="140"/>
              <w:bottom w:type="dxa" w:w="80"/>
              <w:right w:type="dxa" w:w="100"/>
            </w:tcMar>
          </w:tcPr>
          <w:p>
            <w:pPr>
              <w:spacing w:before="0" w:after="40"/>
            </w:pPr>
            <w:r>
              <w:rPr>
                <w:rFonts w:ascii="Arial" w:cs="Arial" w:eastAsia="Arial" w:hAnsi="Arial"/>
                <w:b/>
                <w:bCs/>
                <w:color w:val="1A3A5C"/>
                <w:sz w:val="21"/>
                <w:szCs w:val="21"/>
              </w:rPr>
              <w:t xml:space="preserve">Audit log verified</w:t>
            </w:r>
          </w:p>
          <w:p>
            <w:pPr>
              <w:spacing w:before="0" w:after="0"/>
            </w:pPr>
            <w:r>
              <w:rPr>
                <w:rFonts w:ascii="Arial" w:cs="Arial" w:eastAsia="Arial" w:hAnsi="Arial"/>
                <w:color w:val="374151"/>
                <w:sz w:val="20"/>
                <w:szCs w:val="20"/>
              </w:rPr>
              <w:t xml:space="preserve">Every action that must write to audit_logs does so. Verified by querying audit_logs during integration tests.</w:t>
            </w:r>
          </w:p>
        </w:tc>
      </w:tr>
    </w:tbl>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8526"/>
      </w:tblGrid>
      <w:tr>
        <w:tc>
          <w:tcPr>
            <w:tcW w:type="dxa" w:w="50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vAlign w:val="center"/>
          </w:tcPr>
          <w:p>
            <w:pPr>
              <w:spacing w:before="0" w:after="0"/>
              <w:jc w:val="center"/>
            </w:pPr>
            <w:r>
              <w:rPr>
                <w:rFonts w:ascii="Arial" w:cs="Arial" w:eastAsia="Arial" w:hAnsi="Arial"/>
                <w:color w:val="6B7280"/>
                <w:sz w:val="22"/>
                <w:szCs w:val="22"/>
              </w:rPr>
              <w:t xml:space="preserve">☐</w:t>
            </w:r>
          </w:p>
        </w:tc>
        <w:tc>
          <w:tcPr>
            <w:tcW w:type="dxa" w:w="8526"/>
            <w:tcBorders>
              <w:top w:val="single" w:color="D1D5DB" w:sz="1"/>
              <w:left w:val="single" w:color="D1D5DB" w:sz="1"/>
              <w:bottom w:val="single" w:color="D1D5DB" w:sz="1"/>
              <w:right w:val="single" w:color="D1D5DB" w:sz="1"/>
            </w:tcBorders>
            <w:tcMar>
              <w:top w:type="dxa" w:w="80"/>
              <w:left w:type="dxa" w:w="140"/>
              <w:bottom w:type="dxa" w:w="80"/>
              <w:right w:type="dxa" w:w="100"/>
            </w:tcMar>
          </w:tcPr>
          <w:p>
            <w:pPr>
              <w:spacing w:before="0" w:after="40"/>
            </w:pPr>
            <w:r>
              <w:rPr>
                <w:rFonts w:ascii="Arial" w:cs="Arial" w:eastAsia="Arial" w:hAnsi="Arial"/>
                <w:b/>
                <w:bCs/>
                <w:color w:val="1A3A5C"/>
                <w:sz w:val="21"/>
                <w:szCs w:val="21"/>
              </w:rPr>
              <w:t xml:space="preserve">All endpoints tested in Postman</w:t>
            </w:r>
          </w:p>
          <w:p>
            <w:pPr>
              <w:spacing w:before="0" w:after="0"/>
            </w:pPr>
            <w:r>
              <w:rPr>
                <w:rFonts w:ascii="Arial" w:cs="Arial" w:eastAsia="Arial" w:hAnsi="Arial"/>
                <w:color w:val="374151"/>
                <w:sz w:val="20"/>
                <w:szCs w:val="20"/>
              </w:rPr>
              <w:t xml:space="preserve">Every endpoint tested manually. Success case and at least 3 error cases verified.</w:t>
            </w:r>
          </w:p>
        </w:tc>
      </w:tr>
    </w:tbl>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8526"/>
      </w:tblGrid>
      <w:tr>
        <w:tc>
          <w:tcPr>
            <w:tcW w:type="dxa" w:w="50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vAlign w:val="center"/>
          </w:tcPr>
          <w:p>
            <w:pPr>
              <w:spacing w:before="0" w:after="0"/>
              <w:jc w:val="center"/>
            </w:pPr>
            <w:r>
              <w:rPr>
                <w:rFonts w:ascii="Arial" w:cs="Arial" w:eastAsia="Arial" w:hAnsi="Arial"/>
                <w:color w:val="6B7280"/>
                <w:sz w:val="22"/>
                <w:szCs w:val="22"/>
              </w:rPr>
              <w:t xml:space="preserve">☐</w:t>
            </w:r>
          </w:p>
        </w:tc>
        <w:tc>
          <w:tcPr>
            <w:tcW w:type="dxa" w:w="8526"/>
            <w:tcBorders>
              <w:top w:val="single" w:color="D1D5DB" w:sz="1"/>
              <w:left w:val="single" w:color="D1D5DB" w:sz="1"/>
              <w:bottom w:val="single" w:color="D1D5DB" w:sz="1"/>
              <w:right w:val="single" w:color="D1D5DB" w:sz="1"/>
            </w:tcBorders>
            <w:tcMar>
              <w:top w:type="dxa" w:w="80"/>
              <w:left w:type="dxa" w:w="140"/>
              <w:bottom w:type="dxa" w:w="80"/>
              <w:right w:type="dxa" w:w="100"/>
            </w:tcMar>
          </w:tcPr>
          <w:p>
            <w:pPr>
              <w:spacing w:before="0" w:after="40"/>
            </w:pPr>
            <w:r>
              <w:rPr>
                <w:rFonts w:ascii="Arial" w:cs="Arial" w:eastAsia="Arial" w:hAnsi="Arial"/>
                <w:b/>
                <w:bCs/>
                <w:color w:val="1A3A5C"/>
                <w:sz w:val="21"/>
                <w:szCs w:val="21"/>
              </w:rPr>
              <w:t xml:space="preserve">TypeScript compiles clean</w:t>
            </w:r>
          </w:p>
          <w:p>
            <w:pPr>
              <w:spacing w:before="0" w:after="0"/>
            </w:pPr>
            <w:r>
              <w:rPr>
                <w:rFonts w:ascii="Arial" w:cs="Arial" w:eastAsia="Arial" w:hAnsi="Arial"/>
                <w:color w:val="374151"/>
                <w:sz w:val="20"/>
                <w:szCs w:val="20"/>
              </w:rPr>
              <w:t xml:space="preserve">npm run typecheck passes with zero errors.</w:t>
            </w:r>
          </w:p>
        </w:tc>
      </w:tr>
    </w:tbl>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8526"/>
      </w:tblGrid>
      <w:tr>
        <w:tc>
          <w:tcPr>
            <w:tcW w:type="dxa" w:w="50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vAlign w:val="center"/>
          </w:tcPr>
          <w:p>
            <w:pPr>
              <w:spacing w:before="0" w:after="0"/>
              <w:jc w:val="center"/>
            </w:pPr>
            <w:r>
              <w:rPr>
                <w:rFonts w:ascii="Arial" w:cs="Arial" w:eastAsia="Arial" w:hAnsi="Arial"/>
                <w:color w:val="6B7280"/>
                <w:sz w:val="22"/>
                <w:szCs w:val="22"/>
              </w:rPr>
              <w:t xml:space="preserve">☐</w:t>
            </w:r>
          </w:p>
        </w:tc>
        <w:tc>
          <w:tcPr>
            <w:tcW w:type="dxa" w:w="8526"/>
            <w:tcBorders>
              <w:top w:val="single" w:color="D1D5DB" w:sz="1"/>
              <w:left w:val="single" w:color="D1D5DB" w:sz="1"/>
              <w:bottom w:val="single" w:color="D1D5DB" w:sz="1"/>
              <w:right w:val="single" w:color="D1D5DB" w:sz="1"/>
            </w:tcBorders>
            <w:tcMar>
              <w:top w:type="dxa" w:w="80"/>
              <w:left w:type="dxa" w:w="140"/>
              <w:bottom w:type="dxa" w:w="80"/>
              <w:right w:type="dxa" w:w="100"/>
            </w:tcMar>
          </w:tcPr>
          <w:p>
            <w:pPr>
              <w:spacing w:before="0" w:after="40"/>
            </w:pPr>
            <w:r>
              <w:rPr>
                <w:rFonts w:ascii="Arial" w:cs="Arial" w:eastAsia="Arial" w:hAnsi="Arial"/>
                <w:b/>
                <w:bCs/>
                <w:color w:val="1A3A5C"/>
                <w:sz w:val="21"/>
                <w:szCs w:val="21"/>
              </w:rPr>
              <w:t xml:space="preserve">ESLint passes clean</w:t>
            </w:r>
          </w:p>
          <w:p>
            <w:pPr>
              <w:spacing w:before="0" w:after="0"/>
            </w:pPr>
            <w:r>
              <w:rPr>
                <w:rFonts w:ascii="Arial" w:cs="Arial" w:eastAsia="Arial" w:hAnsi="Arial"/>
                <w:color w:val="374151"/>
                <w:sz w:val="20"/>
                <w:szCs w:val="20"/>
              </w:rPr>
              <w:t xml:space="preserve">npm run lint passes with zero errors and zero warnings.</w:t>
            </w:r>
          </w:p>
        </w:tc>
      </w:tr>
    </w:tbl>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8526"/>
      </w:tblGrid>
      <w:tr>
        <w:tc>
          <w:tcPr>
            <w:tcW w:type="dxa" w:w="50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vAlign w:val="center"/>
          </w:tcPr>
          <w:p>
            <w:pPr>
              <w:spacing w:before="0" w:after="0"/>
              <w:jc w:val="center"/>
            </w:pPr>
            <w:r>
              <w:rPr>
                <w:rFonts w:ascii="Arial" w:cs="Arial" w:eastAsia="Arial" w:hAnsi="Arial"/>
                <w:color w:val="6B7280"/>
                <w:sz w:val="22"/>
                <w:szCs w:val="22"/>
              </w:rPr>
              <w:t xml:space="preserve">☐</w:t>
            </w:r>
          </w:p>
        </w:tc>
        <w:tc>
          <w:tcPr>
            <w:tcW w:type="dxa" w:w="8526"/>
            <w:tcBorders>
              <w:top w:val="single" w:color="D1D5DB" w:sz="1"/>
              <w:left w:val="single" w:color="D1D5DB" w:sz="1"/>
              <w:bottom w:val="single" w:color="D1D5DB" w:sz="1"/>
              <w:right w:val="single" w:color="D1D5DB" w:sz="1"/>
            </w:tcBorders>
            <w:tcMar>
              <w:top w:type="dxa" w:w="80"/>
              <w:left w:type="dxa" w:w="140"/>
              <w:bottom w:type="dxa" w:w="80"/>
              <w:right w:type="dxa" w:w="100"/>
            </w:tcMar>
          </w:tcPr>
          <w:p>
            <w:pPr>
              <w:spacing w:before="0" w:after="40"/>
            </w:pPr>
            <w:r>
              <w:rPr>
                <w:rFonts w:ascii="Arial" w:cs="Arial" w:eastAsia="Arial" w:hAnsi="Arial"/>
                <w:b/>
                <w:bCs/>
                <w:color w:val="1A3A5C"/>
                <w:sz w:val="21"/>
                <w:szCs w:val="21"/>
              </w:rPr>
              <w:t xml:space="preserve">Pull Request reviewed and approved</w:t>
            </w:r>
          </w:p>
          <w:p>
            <w:pPr>
              <w:spacing w:before="0" w:after="0"/>
            </w:pPr>
            <w:r>
              <w:rPr>
                <w:rFonts w:ascii="Arial" w:cs="Arial" w:eastAsia="Arial" w:hAnsi="Arial"/>
                <w:color w:val="374151"/>
                <w:sz w:val="20"/>
                <w:szCs w:val="20"/>
              </w:rPr>
              <w:t xml:space="preserve">Technical Lead has approved the PR. Compliance Officer has approved PRs for Modules 2, 4, 7, 8.</w:t>
            </w:r>
          </w:p>
        </w:tc>
      </w:tr>
    </w:tbl>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8526"/>
      </w:tblGrid>
      <w:tr>
        <w:tc>
          <w:tcPr>
            <w:tcW w:type="dxa" w:w="50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vAlign w:val="center"/>
          </w:tcPr>
          <w:p>
            <w:pPr>
              <w:spacing w:before="0" w:after="0"/>
              <w:jc w:val="center"/>
            </w:pPr>
            <w:r>
              <w:rPr>
                <w:rFonts w:ascii="Arial" w:cs="Arial" w:eastAsia="Arial" w:hAnsi="Arial"/>
                <w:color w:val="6B7280"/>
                <w:sz w:val="22"/>
                <w:szCs w:val="22"/>
              </w:rPr>
              <w:t xml:space="preserve">☐</w:t>
            </w:r>
          </w:p>
        </w:tc>
        <w:tc>
          <w:tcPr>
            <w:tcW w:type="dxa" w:w="8526"/>
            <w:tcBorders>
              <w:top w:val="single" w:color="D1D5DB" w:sz="1"/>
              <w:left w:val="single" w:color="D1D5DB" w:sz="1"/>
              <w:bottom w:val="single" w:color="D1D5DB" w:sz="1"/>
              <w:right w:val="single" w:color="D1D5DB" w:sz="1"/>
            </w:tcBorders>
            <w:tcMar>
              <w:top w:type="dxa" w:w="80"/>
              <w:left w:type="dxa" w:w="140"/>
              <w:bottom w:type="dxa" w:w="80"/>
              <w:right w:type="dxa" w:w="100"/>
            </w:tcMar>
          </w:tcPr>
          <w:p>
            <w:pPr>
              <w:spacing w:before="0" w:after="40"/>
            </w:pPr>
            <w:r>
              <w:rPr>
                <w:rFonts w:ascii="Arial" w:cs="Arial" w:eastAsia="Arial" w:hAnsi="Arial"/>
                <w:b/>
                <w:bCs/>
                <w:color w:val="1A3A5C"/>
                <w:sz w:val="21"/>
                <w:szCs w:val="21"/>
              </w:rPr>
              <w:t xml:space="preserve">Deployed to develop branch</w:t>
            </w:r>
          </w:p>
          <w:p>
            <w:pPr>
              <w:spacing w:before="0" w:after="0"/>
            </w:pPr>
            <w:r>
              <w:rPr>
                <w:rFonts w:ascii="Arial" w:cs="Arial" w:eastAsia="Arial" w:hAnsi="Arial"/>
                <w:color w:val="374151"/>
                <w:sz w:val="20"/>
                <w:szCs w:val="20"/>
              </w:rPr>
              <w:t xml:space="preserve">PR merged to develop. CI pipeline passed all stages on develop.</w:t>
            </w:r>
          </w:p>
        </w:tc>
      </w:tr>
    </w:tbl>
    <w:p>
      <w:pPr>
        <w:spacing w:before="0" w:after="160"/>
      </w:pPr>
      <w:r>
        <w:t xml:space="preserve"/>
      </w:r>
    </w:p>
    <w:p>
      <w:pPr>
        <w:pStyle w:val="Heading2"/>
        <w:pBdr>
          <w:bottom w:val="single" w:color="D1D5DB" w:sz="4" w:space="4"/>
        </w:pBdr>
        <w:spacing w:before="320" w:after="120"/>
      </w:pPr>
      <w:r>
        <w:rPr>
          <w:rFonts w:ascii="Arial" w:cs="Arial" w:eastAsia="Arial" w:hAnsi="Arial"/>
          <w:b/>
          <w:bCs/>
          <w:color w:val="1A3A5C"/>
          <w:sz w:val="28"/>
          <w:szCs w:val="28"/>
        </w:rPr>
        <w:t xml:space="preserve">Sprint-Level Definition of Done</w:t>
      </w:r>
    </w:p>
    <w:p>
      <w:pPr>
        <w:spacing w:before="60" w:after="100"/>
        <w:jc w:val="left"/>
      </w:pPr>
      <w:r>
        <w:rPr>
          <w:rFonts w:ascii="Arial" w:cs="Arial" w:eastAsia="Arial" w:hAnsi="Arial"/>
          <w:b w:val="false"/>
          <w:bCs w:val="false"/>
          <w:i w:val="false"/>
          <w:iCs w:val="false"/>
          <w:color w:val="374151"/>
          <w:sz w:val="22"/>
          <w:szCs w:val="22"/>
        </w:rPr>
        <w:t xml:space="preserve">A sprint is complete when all modules planned for that sprint meet the Module-Level Definition of Done AND the develop branch is deployable to staging without errors.</w:t>
      </w:r>
    </w:p>
    <w:p>
      <w:pPr>
        <w:spacing w:before="0" w:after="140"/>
      </w:pPr>
      <w:r>
        <w:t xml:space="preserve"/>
      </w:r>
    </w:p>
    <w:p>
      <w:pPr>
        <w:pStyle w:val="Heading2"/>
        <w:pBdr>
          <w:bottom w:val="single" w:color="D1D5DB" w:sz="4" w:space="4"/>
        </w:pBdr>
        <w:spacing w:before="320" w:after="120"/>
      </w:pPr>
      <w:r>
        <w:rPr>
          <w:rFonts w:ascii="Arial" w:cs="Arial" w:eastAsia="Arial" w:hAnsi="Arial"/>
          <w:b/>
          <w:bCs/>
          <w:color w:val="1A3A5C"/>
          <w:sz w:val="28"/>
          <w:szCs w:val="28"/>
        </w:rPr>
        <w:t xml:space="preserve">Project-Level Definition of Done</w:t>
      </w:r>
    </w:p>
    <w:p>
      <w:pPr>
        <w:spacing w:before="60" w:after="100"/>
        <w:jc w:val="left"/>
      </w:pPr>
      <w:r>
        <w:rPr>
          <w:rFonts w:ascii="Arial" w:cs="Arial" w:eastAsia="Arial" w:hAnsi="Arial"/>
          <w:b w:val="false"/>
          <w:bCs w:val="false"/>
          <w:i w:val="false"/>
          <w:iCs w:val="false"/>
          <w:color w:val="374151"/>
          <w:sz w:val="22"/>
          <w:szCs w:val="22"/>
        </w:rPr>
        <w:t xml:space="preserve">The project is complete and ready for Gate 2 (controlled expansion) when all of the following are true. This is the standard the Technical Lead, MD, and Compliance Officer sign off against.</w:t>
      </w:r>
    </w:p>
    <w:p>
      <w:pPr>
        <w:spacing w:before="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8526"/>
      </w:tblGrid>
      <w:tr>
        <w:tc>
          <w:tcPr>
            <w:tcW w:type="dxa" w:w="50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vAlign w:val="center"/>
          </w:tcPr>
          <w:p>
            <w:pPr>
              <w:spacing w:before="0" w:after="0"/>
              <w:jc w:val="center"/>
            </w:pPr>
            <w:r>
              <w:rPr>
                <w:rFonts w:ascii="Arial" w:cs="Arial" w:eastAsia="Arial" w:hAnsi="Arial"/>
                <w:color w:val="6B7280"/>
                <w:sz w:val="22"/>
                <w:szCs w:val="22"/>
              </w:rPr>
              <w:t xml:space="preserve">☐</w:t>
            </w:r>
          </w:p>
        </w:tc>
        <w:tc>
          <w:tcPr>
            <w:tcW w:type="dxa" w:w="8526"/>
            <w:tcBorders>
              <w:top w:val="single" w:color="D1D5DB" w:sz="1"/>
              <w:left w:val="single" w:color="D1D5DB" w:sz="1"/>
              <w:bottom w:val="single" w:color="D1D5DB" w:sz="1"/>
              <w:right w:val="single" w:color="D1D5DB" w:sz="1"/>
            </w:tcBorders>
            <w:tcMar>
              <w:top w:type="dxa" w:w="80"/>
              <w:left w:type="dxa" w:w="140"/>
              <w:bottom w:type="dxa" w:w="80"/>
              <w:right w:type="dxa" w:w="100"/>
            </w:tcMar>
          </w:tcPr>
          <w:p>
            <w:pPr>
              <w:spacing w:before="0" w:after="40"/>
            </w:pPr>
            <w:r>
              <w:rPr>
                <w:rFonts w:ascii="Arial" w:cs="Arial" w:eastAsia="Arial" w:hAnsi="Arial"/>
                <w:b/>
                <w:bCs/>
                <w:color w:val="1A3A5C"/>
                <w:sz w:val="21"/>
                <w:szCs w:val="21"/>
              </w:rPr>
              <w:t>All 13 modules (including Module 0 and Module 8b) meet Module-Level DoD</w:t>
            </w:r>
          </w:p>
          <w:p>
            <w:pPr>
              <w:spacing w:before="0" w:after="0"/>
            </w:pPr>
            <w:r>
              <w:rPr>
                <w:rFonts w:ascii="Arial" w:cs="Arial" w:eastAsia="Arial" w:hAnsi="Arial"/>
                <w:color w:val="374151"/>
                <w:sz w:val="20"/>
                <w:szCs w:val="20"/>
              </w:rPr>
              <w:t>Confirmed by Technical Lead</w:t>
            </w:r>
          </w:p>
        </w:tc>
      </w:tr>
    </w:tbl>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8526"/>
      </w:tblGrid>
      <w:tr>
        <w:tc>
          <w:tcPr>
            <w:tcW w:type="dxa" w:w="50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vAlign w:val="center"/>
          </w:tcPr>
          <w:p>
            <w:pPr>
              <w:spacing w:before="0" w:after="0"/>
              <w:jc w:val="center"/>
            </w:pPr>
            <w:r>
              <w:rPr>
                <w:rFonts w:ascii="Arial" w:cs="Arial" w:eastAsia="Arial" w:hAnsi="Arial"/>
                <w:color w:val="6B7280"/>
                <w:sz w:val="22"/>
                <w:szCs w:val="22"/>
              </w:rPr>
              <w:t xml:space="preserve">☐</w:t>
            </w:r>
          </w:p>
        </w:tc>
        <w:tc>
          <w:tcPr>
            <w:tcW w:type="dxa" w:w="8526"/>
            <w:tcBorders>
              <w:top w:val="single" w:color="D1D5DB" w:sz="1"/>
              <w:left w:val="single" w:color="D1D5DB" w:sz="1"/>
              <w:bottom w:val="single" w:color="D1D5DB" w:sz="1"/>
              <w:right w:val="single" w:color="D1D5DB" w:sz="1"/>
            </w:tcBorders>
            <w:tcMar>
              <w:top w:type="dxa" w:w="80"/>
              <w:left w:type="dxa" w:w="140"/>
              <w:bottom w:type="dxa" w:w="80"/>
              <w:right w:type="dxa" w:w="100"/>
            </w:tcMar>
          </w:tcPr>
          <w:p>
            <w:pPr>
              <w:spacing w:before="0" w:after="40"/>
            </w:pPr>
            <w:r>
              <w:rPr>
                <w:rFonts w:ascii="Arial" w:cs="Arial" w:eastAsia="Arial" w:hAnsi="Arial"/>
                <w:b/>
                <w:bCs/>
                <w:color w:val="1A3A5C"/>
                <w:sz w:val="21"/>
                <w:szCs w:val="21"/>
              </w:rPr>
              <w:t xml:space="preserve">External penetration test passed</w:t>
            </w:r>
          </w:p>
          <w:p>
            <w:pPr>
              <w:spacing w:before="0" w:after="0"/>
            </w:pPr>
            <w:r>
              <w:rPr>
                <w:rFonts w:ascii="Arial" w:cs="Arial" w:eastAsia="Arial" w:hAnsi="Arial"/>
                <w:color w:val="374151"/>
                <w:sz w:val="20"/>
                <w:szCs w:val="20"/>
              </w:rPr>
              <w:t xml:space="preserve">Security firm report shows no critical or high findings</w:t>
            </w:r>
          </w:p>
        </w:tc>
      </w:tr>
    </w:tbl>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8526"/>
      </w:tblGrid>
      <w:tr>
        <w:tc>
          <w:tcPr>
            <w:tcW w:type="dxa" w:w="50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vAlign w:val="center"/>
          </w:tcPr>
          <w:p>
            <w:pPr>
              <w:spacing w:before="0" w:after="0"/>
              <w:jc w:val="center"/>
            </w:pPr>
            <w:r>
              <w:rPr>
                <w:rFonts w:ascii="Arial" w:cs="Arial" w:eastAsia="Arial" w:hAnsi="Arial"/>
                <w:color w:val="6B7280"/>
                <w:sz w:val="22"/>
                <w:szCs w:val="22"/>
              </w:rPr>
              <w:t xml:space="preserve">☐</w:t>
            </w:r>
          </w:p>
        </w:tc>
        <w:tc>
          <w:tcPr>
            <w:tcW w:type="dxa" w:w="8526"/>
            <w:tcBorders>
              <w:top w:val="single" w:color="D1D5DB" w:sz="1"/>
              <w:left w:val="single" w:color="D1D5DB" w:sz="1"/>
              <w:bottom w:val="single" w:color="D1D5DB" w:sz="1"/>
              <w:right w:val="single" w:color="D1D5DB" w:sz="1"/>
            </w:tcBorders>
            <w:tcMar>
              <w:top w:type="dxa" w:w="80"/>
              <w:left w:type="dxa" w:w="140"/>
              <w:bottom w:type="dxa" w:w="80"/>
              <w:right w:type="dxa" w:w="100"/>
            </w:tcMar>
          </w:tcPr>
          <w:p>
            <w:pPr>
              <w:spacing w:before="0" w:after="40"/>
            </w:pPr>
            <w:r>
              <w:rPr>
                <w:rFonts w:ascii="Arial" w:cs="Arial" w:eastAsia="Arial" w:hAnsi="Arial"/>
                <w:b/>
                <w:bCs/>
                <w:color w:val="1A3A5C"/>
                <w:sz w:val="21"/>
                <w:szCs w:val="21"/>
              </w:rPr>
              <w:t xml:space="preserve">Performance tests passed</w:t>
            </w:r>
          </w:p>
          <w:p>
            <w:pPr>
              <w:spacing w:before="0" w:after="0"/>
            </w:pPr>
            <w:r>
              <w:rPr>
                <w:rFonts w:ascii="Arial" w:cs="Arial" w:eastAsia="Arial" w:hAnsi="Arial"/>
                <w:color w:val="374151"/>
                <w:sz w:val="20"/>
                <w:szCs w:val="20"/>
              </w:rPr>
              <w:t xml:space="preserve">k6 load tests confirm all SLA targets met under specified load</w:t>
            </w:r>
          </w:p>
        </w:tc>
      </w:tr>
    </w:tbl>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8526"/>
      </w:tblGrid>
      <w:tr>
        <w:tc>
          <w:tcPr>
            <w:tcW w:type="dxa" w:w="50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vAlign w:val="center"/>
          </w:tcPr>
          <w:p>
            <w:pPr>
              <w:spacing w:before="0" w:after="0"/>
              <w:jc w:val="center"/>
            </w:pPr>
            <w:r>
              <w:rPr>
                <w:rFonts w:ascii="Arial" w:cs="Arial" w:eastAsia="Arial" w:hAnsi="Arial"/>
                <w:color w:val="6B7280"/>
                <w:sz w:val="22"/>
                <w:szCs w:val="22"/>
              </w:rPr>
              <w:t xml:space="preserve">☐</w:t>
            </w:r>
          </w:p>
        </w:tc>
        <w:tc>
          <w:tcPr>
            <w:tcW w:type="dxa" w:w="8526"/>
            <w:tcBorders>
              <w:top w:val="single" w:color="D1D5DB" w:sz="1"/>
              <w:left w:val="single" w:color="D1D5DB" w:sz="1"/>
              <w:bottom w:val="single" w:color="D1D5DB" w:sz="1"/>
              <w:right w:val="single" w:color="D1D5DB" w:sz="1"/>
            </w:tcBorders>
            <w:tcMar>
              <w:top w:type="dxa" w:w="80"/>
              <w:left w:type="dxa" w:w="140"/>
              <w:bottom w:type="dxa" w:w="80"/>
              <w:right w:type="dxa" w:w="100"/>
            </w:tcMar>
          </w:tcPr>
          <w:p>
            <w:pPr>
              <w:spacing w:before="0" w:after="40"/>
            </w:pPr>
            <w:r>
              <w:rPr>
                <w:rFonts w:ascii="Arial" w:cs="Arial" w:eastAsia="Arial" w:hAnsi="Arial"/>
                <w:b/>
                <w:bCs/>
                <w:color w:val="1A3A5C"/>
                <w:sz w:val="21"/>
                <w:szCs w:val="21"/>
              </w:rPr>
              <w:t xml:space="preserve">Formal OWASP Top 10 audit complete</w:t>
            </w:r>
          </w:p>
          <w:p>
            <w:pPr>
              <w:spacing w:before="0" w:after="0"/>
            </w:pPr>
            <w:r>
              <w:rPr>
                <w:rFonts w:ascii="Arial" w:cs="Arial" w:eastAsia="Arial" w:hAnsi="Arial"/>
                <w:color w:val="374151"/>
                <w:sz w:val="20"/>
                <w:szCs w:val="20"/>
              </w:rPr>
              <w:t xml:space="preserve">Signed audit document produced</w:t>
            </w:r>
          </w:p>
        </w:tc>
      </w:tr>
    </w:tbl>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8526"/>
      </w:tblGrid>
      <w:tr>
        <w:tc>
          <w:tcPr>
            <w:tcW w:type="dxa" w:w="50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vAlign w:val="center"/>
          </w:tcPr>
          <w:p>
            <w:pPr>
              <w:spacing w:before="0" w:after="0"/>
              <w:jc w:val="center"/>
            </w:pPr>
            <w:r>
              <w:rPr>
                <w:rFonts w:ascii="Arial" w:cs="Arial" w:eastAsia="Arial" w:hAnsi="Arial"/>
                <w:color w:val="6B7280"/>
                <w:sz w:val="22"/>
                <w:szCs w:val="22"/>
              </w:rPr>
              <w:t xml:space="preserve">☐</w:t>
            </w:r>
          </w:p>
        </w:tc>
        <w:tc>
          <w:tcPr>
            <w:tcW w:type="dxa" w:w="8526"/>
            <w:tcBorders>
              <w:top w:val="single" w:color="D1D5DB" w:sz="1"/>
              <w:left w:val="single" w:color="D1D5DB" w:sz="1"/>
              <w:bottom w:val="single" w:color="D1D5DB" w:sz="1"/>
              <w:right w:val="single" w:color="D1D5DB" w:sz="1"/>
            </w:tcBorders>
            <w:tcMar>
              <w:top w:type="dxa" w:w="80"/>
              <w:left w:type="dxa" w:w="140"/>
              <w:bottom w:type="dxa" w:w="80"/>
              <w:right w:type="dxa" w:w="100"/>
            </w:tcMar>
          </w:tcPr>
          <w:p>
            <w:pPr>
              <w:spacing w:before="0" w:after="40"/>
            </w:pPr>
            <w:r>
              <w:rPr>
                <w:rFonts w:ascii="Arial" w:cs="Arial" w:eastAsia="Arial" w:hAnsi="Arial"/>
                <w:b/>
                <w:bCs/>
                <w:color w:val="1A3A5C"/>
                <w:sz w:val="21"/>
                <w:szCs w:val="21"/>
              </w:rPr>
              <w:t xml:space="preserve">AML/KYC compliance document signed</w:t>
            </w:r>
          </w:p>
          <w:p>
            <w:pPr>
              <w:spacing w:before="0" w:after="0"/>
            </w:pPr>
            <w:r>
              <w:rPr>
                <w:rFonts w:ascii="Arial" w:cs="Arial" w:eastAsia="Arial" w:hAnsi="Arial"/>
                <w:color w:val="374151"/>
                <w:sz w:val="20"/>
                <w:szCs w:val="20"/>
              </w:rPr>
              <w:t xml:space="preserve">Compliance Officer and lawyer signatures present</w:t>
            </w:r>
          </w:p>
        </w:tc>
      </w:tr>
    </w:tbl>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8526"/>
      </w:tblGrid>
      <w:tr>
        <w:tc>
          <w:tcPr>
            <w:tcW w:type="dxa" w:w="50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vAlign w:val="center"/>
          </w:tcPr>
          <w:p>
            <w:pPr>
              <w:spacing w:before="0" w:after="0"/>
              <w:jc w:val="center"/>
            </w:pPr>
            <w:r>
              <w:rPr>
                <w:rFonts w:ascii="Arial" w:cs="Arial" w:eastAsia="Arial" w:hAnsi="Arial"/>
                <w:color w:val="6B7280"/>
                <w:sz w:val="22"/>
                <w:szCs w:val="22"/>
              </w:rPr>
              <w:t xml:space="preserve">☐</w:t>
            </w:r>
          </w:p>
        </w:tc>
        <w:tc>
          <w:tcPr>
            <w:tcW w:type="dxa" w:w="8526"/>
            <w:tcBorders>
              <w:top w:val="single" w:color="D1D5DB" w:sz="1"/>
              <w:left w:val="single" w:color="D1D5DB" w:sz="1"/>
              <w:bottom w:val="single" w:color="D1D5DB" w:sz="1"/>
              <w:right w:val="single" w:color="D1D5DB" w:sz="1"/>
            </w:tcBorders>
            <w:tcMar>
              <w:top w:type="dxa" w:w="80"/>
              <w:left w:type="dxa" w:w="140"/>
              <w:bottom w:type="dxa" w:w="80"/>
              <w:right w:type="dxa" w:w="100"/>
            </w:tcMar>
          </w:tcPr>
          <w:p>
            <w:pPr>
              <w:spacing w:before="0" w:after="40"/>
            </w:pPr>
            <w:r>
              <w:rPr>
                <w:rFonts w:ascii="Arial" w:cs="Arial" w:eastAsia="Arial" w:hAnsi="Arial"/>
                <w:b/>
                <w:bCs/>
                <w:color w:val="1A3A5C"/>
                <w:sz w:val="21"/>
                <w:szCs w:val="21"/>
              </w:rPr>
              <w:t xml:space="preserve">Uganda PDPA compliance document signed</w:t>
            </w:r>
          </w:p>
          <w:p>
            <w:pPr>
              <w:spacing w:before="0" w:after="0"/>
            </w:pPr>
            <w:r>
              <w:rPr>
                <w:rFonts w:ascii="Arial" w:cs="Arial" w:eastAsia="Arial" w:hAnsi="Arial"/>
                <w:color w:val="374151"/>
                <w:sz w:val="20"/>
                <w:szCs w:val="20"/>
              </w:rPr>
              <w:t xml:space="preserve">Compliance Officer signature present</w:t>
            </w:r>
          </w:p>
        </w:tc>
      </w:tr>
    </w:tbl>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8526"/>
      </w:tblGrid>
      <w:tr>
        <w:tc>
          <w:tcPr>
            <w:tcW w:type="dxa" w:w="50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vAlign w:val="center"/>
          </w:tcPr>
          <w:p>
            <w:pPr>
              <w:spacing w:before="0" w:after="0"/>
              <w:jc w:val="center"/>
            </w:pPr>
            <w:r>
              <w:rPr>
                <w:rFonts w:ascii="Arial" w:cs="Arial" w:eastAsia="Arial" w:hAnsi="Arial"/>
                <w:color w:val="6B7280"/>
                <w:sz w:val="22"/>
                <w:szCs w:val="22"/>
              </w:rPr>
              <w:t xml:space="preserve">☐</w:t>
            </w:r>
          </w:p>
        </w:tc>
        <w:tc>
          <w:tcPr>
            <w:tcW w:type="dxa" w:w="8526"/>
            <w:tcBorders>
              <w:top w:val="single" w:color="D1D5DB" w:sz="1"/>
              <w:left w:val="single" w:color="D1D5DB" w:sz="1"/>
              <w:bottom w:val="single" w:color="D1D5DB" w:sz="1"/>
              <w:right w:val="single" w:color="D1D5DB" w:sz="1"/>
            </w:tcBorders>
            <w:tcMar>
              <w:top w:type="dxa" w:w="80"/>
              <w:left w:type="dxa" w:w="140"/>
              <w:bottom w:type="dxa" w:w="80"/>
              <w:right w:type="dxa" w:w="100"/>
            </w:tcMar>
          </w:tcPr>
          <w:p>
            <w:pPr>
              <w:spacing w:before="0" w:after="40"/>
            </w:pPr>
            <w:r>
              <w:rPr>
                <w:rFonts w:ascii="Arial" w:cs="Arial" w:eastAsia="Arial" w:hAnsi="Arial"/>
                <w:b/>
                <w:bCs/>
                <w:color w:val="1A3A5C"/>
                <w:sz w:val="21"/>
                <w:szCs w:val="21"/>
              </w:rPr>
              <w:t xml:space="preserve">All user documentation written</w:t>
            </w:r>
          </w:p>
          <w:p>
            <w:pPr>
              <w:spacing w:before="0" w:after="0"/>
            </w:pPr>
            <w:r>
              <w:rPr>
                <w:rFonts w:ascii="Arial" w:cs="Arial" w:eastAsia="Arial" w:hAnsi="Arial"/>
                <w:color w:val="374151"/>
                <w:sz w:val="20"/>
                <w:szCs w:val="20"/>
              </w:rPr>
              <w:t xml:space="preserve">Guides for all 6 roles reviewed by a real user in each role</w:t>
            </w:r>
          </w:p>
        </w:tc>
      </w:tr>
    </w:tbl>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8526"/>
      </w:tblGrid>
      <w:tr>
        <w:tc>
          <w:tcPr>
            <w:tcW w:type="dxa" w:w="50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vAlign w:val="center"/>
          </w:tcPr>
          <w:p>
            <w:pPr>
              <w:spacing w:before="0" w:after="0"/>
              <w:jc w:val="center"/>
            </w:pPr>
            <w:r>
              <w:rPr>
                <w:rFonts w:ascii="Arial" w:cs="Arial" w:eastAsia="Arial" w:hAnsi="Arial"/>
                <w:color w:val="6B7280"/>
                <w:sz w:val="22"/>
                <w:szCs w:val="22"/>
              </w:rPr>
              <w:t xml:space="preserve">☐</w:t>
            </w:r>
          </w:p>
        </w:tc>
        <w:tc>
          <w:tcPr>
            <w:tcW w:type="dxa" w:w="8526"/>
            <w:tcBorders>
              <w:top w:val="single" w:color="D1D5DB" w:sz="1"/>
              <w:left w:val="single" w:color="D1D5DB" w:sz="1"/>
              <w:bottom w:val="single" w:color="D1D5DB" w:sz="1"/>
              <w:right w:val="single" w:color="D1D5DB" w:sz="1"/>
            </w:tcBorders>
            <w:tcMar>
              <w:top w:type="dxa" w:w="80"/>
              <w:left w:type="dxa" w:w="140"/>
              <w:bottom w:type="dxa" w:w="80"/>
              <w:right w:type="dxa" w:w="100"/>
            </w:tcMar>
          </w:tcPr>
          <w:p>
            <w:pPr>
              <w:spacing w:before="0" w:after="40"/>
            </w:pPr>
            <w:r>
              <w:rPr>
                <w:rFonts w:ascii="Arial" w:cs="Arial" w:eastAsia="Arial" w:hAnsi="Arial"/>
                <w:b/>
                <w:bCs/>
                <w:color w:val="1A3A5C"/>
                <w:sz w:val="21"/>
                <w:szCs w:val="21"/>
              </w:rPr>
              <w:t xml:space="preserve">CI/CD pipeline fully operational</w:t>
            </w:r>
          </w:p>
          <w:p>
            <w:pPr>
              <w:spacing w:before="0" w:after="0"/>
            </w:pPr>
            <w:r>
              <w:rPr>
                <w:rFonts w:ascii="Arial" w:cs="Arial" w:eastAsia="Arial" w:hAnsi="Arial"/>
                <w:color w:val="374151"/>
                <w:sz w:val="20"/>
                <w:szCs w:val="20"/>
              </w:rPr>
              <w:t xml:space="preserve">Automated deployment to staging with all 10 pipeline stages passing</w:t>
            </w:r>
          </w:p>
        </w:tc>
      </w:tr>
    </w:tbl>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8526"/>
      </w:tblGrid>
      <w:tr>
        <w:tc>
          <w:tcPr>
            <w:tcW w:type="dxa" w:w="50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vAlign w:val="center"/>
          </w:tcPr>
          <w:p>
            <w:pPr>
              <w:spacing w:before="0" w:after="0"/>
              <w:jc w:val="center"/>
            </w:pPr>
            <w:r>
              <w:rPr>
                <w:rFonts w:ascii="Arial" w:cs="Arial" w:eastAsia="Arial" w:hAnsi="Arial"/>
                <w:color w:val="6B7280"/>
                <w:sz w:val="22"/>
                <w:szCs w:val="22"/>
              </w:rPr>
              <w:t xml:space="preserve">☐</w:t>
            </w:r>
          </w:p>
        </w:tc>
        <w:tc>
          <w:tcPr>
            <w:tcW w:type="dxa" w:w="8526"/>
            <w:tcBorders>
              <w:top w:val="single" w:color="D1D5DB" w:sz="1"/>
              <w:left w:val="single" w:color="D1D5DB" w:sz="1"/>
              <w:bottom w:val="single" w:color="D1D5DB" w:sz="1"/>
              <w:right w:val="single" w:color="D1D5DB" w:sz="1"/>
            </w:tcBorders>
            <w:tcMar>
              <w:top w:type="dxa" w:w="80"/>
              <w:left w:type="dxa" w:w="140"/>
              <w:bottom w:type="dxa" w:w="80"/>
              <w:right w:type="dxa" w:w="100"/>
            </w:tcMar>
          </w:tcPr>
          <w:p>
            <w:pPr>
              <w:spacing w:before="0" w:after="40"/>
            </w:pPr>
            <w:r>
              <w:rPr>
                <w:rFonts w:ascii="Arial" w:cs="Arial" w:eastAsia="Arial" w:hAnsi="Arial"/>
                <w:b/>
                <w:bCs/>
                <w:color w:val="1A3A5C"/>
                <w:sz w:val="21"/>
                <w:szCs w:val="21"/>
              </w:rPr>
              <w:t xml:space="preserve">Disaster recovery tested</w:t>
            </w:r>
          </w:p>
          <w:p>
            <w:pPr>
              <w:spacing w:before="0" w:after="0"/>
            </w:pPr>
            <w:r>
              <w:rPr>
                <w:rFonts w:ascii="Arial" w:cs="Arial" w:eastAsia="Arial" w:hAnsi="Arial"/>
                <w:color w:val="374151"/>
                <w:sz w:val="20"/>
                <w:szCs w:val="20"/>
              </w:rPr>
              <w:t xml:space="preserve">Backup restore tested, RTO and RPO targets verified in a DR drill</w:t>
            </w:r>
          </w:p>
        </w:tc>
      </w:tr>
    </w:tbl>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8526"/>
      </w:tblGrid>
      <w:tr>
        <w:tc>
          <w:tcPr>
            <w:tcW w:type="dxa" w:w="50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vAlign w:val="center"/>
          </w:tcPr>
          <w:p>
            <w:pPr>
              <w:spacing w:before="0" w:after="0"/>
              <w:jc w:val="center"/>
            </w:pPr>
            <w:r>
              <w:rPr>
                <w:rFonts w:ascii="Arial" w:cs="Arial" w:eastAsia="Arial" w:hAnsi="Arial"/>
                <w:color w:val="6B7280"/>
                <w:sz w:val="22"/>
                <w:szCs w:val="22"/>
              </w:rPr>
              <w:t xml:space="preserve">☐</w:t>
            </w:r>
          </w:p>
        </w:tc>
        <w:tc>
          <w:tcPr>
            <w:tcW w:type="dxa" w:w="8526"/>
            <w:tcBorders>
              <w:top w:val="single" w:color="D1D5DB" w:sz="1"/>
              <w:left w:val="single" w:color="D1D5DB" w:sz="1"/>
              <w:bottom w:val="single" w:color="D1D5DB" w:sz="1"/>
              <w:right w:val="single" w:color="D1D5DB" w:sz="1"/>
            </w:tcBorders>
            <w:tcMar>
              <w:top w:type="dxa" w:w="80"/>
              <w:left w:type="dxa" w:w="140"/>
              <w:bottom w:type="dxa" w:w="80"/>
              <w:right w:type="dxa" w:w="100"/>
            </w:tcMar>
          </w:tcPr>
          <w:p>
            <w:pPr>
              <w:spacing w:before="0" w:after="40"/>
            </w:pPr>
            <w:r>
              <w:rPr>
                <w:rFonts w:ascii="Arial" w:cs="Arial" w:eastAsia="Arial" w:hAnsi="Arial"/>
                <w:b/>
                <w:bCs/>
                <w:color w:val="1A3A5C"/>
                <w:sz w:val="21"/>
                <w:szCs w:val="21"/>
              </w:rPr>
              <w:t xml:space="preserve">Gate 1 pilot completed</w:t>
            </w:r>
          </w:p>
          <w:p>
            <w:pPr>
              <w:spacing w:before="0" w:after="0"/>
            </w:pPr>
            <w:r>
              <w:rPr>
                <w:rFonts w:ascii="Arial" w:cs="Arial" w:eastAsia="Arial" w:hAnsi="Arial"/>
                <w:color w:val="374151"/>
                <w:sz w:val="20"/>
                <w:szCs w:val="20"/>
              </w:rPr>
              <w:t xml:space="preserve">30 days of pilot operations with no critical incidents</w:t>
            </w:r>
          </w:p>
        </w:tc>
      </w:tr>
    </w:tbl>
    <w:p>
      <w:pPr>
        <w:spacing w:before="0" w:after="0"/>
      </w:pPr>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3A5C" w:val="clear"/>
            <w:tcMar>
              <w:top w:type="dxa" w:w="120"/>
              <w:left w:type="dxa" w:w="240"/>
              <w:bottom w:type="dxa" w:w="120"/>
              <w:right w:type="dxa" w:w="160"/>
            </w:tcMar>
          </w:tcPr>
          <w:p>
            <w:pPr>
              <w:spacing w:before="0" w:after="0"/>
            </w:pPr>
            <w:r>
              <w:rPr>
                <w:rFonts w:ascii="Arial" w:cs="Arial" w:eastAsia="Arial" w:hAnsi="Arial"/>
                <w:b/>
                <w:bCs/>
                <w:color w:val="FFFFFF"/>
                <w:sz w:val="24"/>
                <w:szCs w:val="24"/>
              </w:rPr>
              <w:t xml:space="preserve">Section 6 — Domain Glossary: Know the Business Language</w:t>
            </w:r>
          </w:p>
        </w:tc>
      </w:tr>
    </w:tbl>
    <w:p>
      <w:pPr>
        <w:spacing w:before="0" w:after="160"/>
      </w:pPr>
      <w:r>
        <w:t xml:space="preserve"/>
      </w:r>
    </w:p>
    <w:p>
      <w:pPr>
        <w:spacing w:before="60" w:after="100"/>
        <w:jc w:val="left"/>
      </w:pPr>
      <w:r>
        <w:rPr>
          <w:rFonts w:ascii="Arial" w:cs="Arial" w:eastAsia="Arial" w:hAnsi="Arial"/>
          <w:b w:val="false"/>
          <w:bCs w:val="false"/>
          <w:i w:val="false"/>
          <w:iCs w:val="false"/>
          <w:color w:val="374151"/>
          <w:sz w:val="22"/>
          <w:szCs w:val="22"/>
        </w:rPr>
        <w:t xml:space="preserve">Invoice discounting has its own vocabulary. Misunderstanding a business term leads to implementing the wrong logic. Every developer must know these terms before building any module.</w:t>
      </w:r>
    </w:p>
    <w:p>
      <w:pPr>
        <w:spacing w:before="0" w:after="1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2626"/>
      </w:tblGrid>
      <w:tr>
        <w:tc>
          <w:tcPr>
            <w:tcW w:type="dxa" w:w="20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Term</w:t>
            </w:r>
          </w:p>
        </w:tc>
        <w:tc>
          <w:tcPr>
            <w:tcW w:type="dxa" w:w="44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Plain English definition</w:t>
            </w:r>
          </w:p>
        </w:tc>
        <w:tc>
          <w:tcPr>
            <w:tcW w:type="dxa" w:w="2626"/>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Where it appears in MMS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Invoice discounting</w:t>
            </w:r>
          </w:p>
        </w:tc>
        <w:tc>
          <w:tcPr>
            <w:tcW w:type="dxa" w:w="4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MMS buys a supplier's invoice at less than face value, giving the supplier early cash</w:t>
            </w:r>
          </w:p>
        </w:tc>
        <w:tc>
          <w:tcPr>
            <w:tcW w:type="dxa" w:w="26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Core business model</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Face value</w:t>
            </w:r>
          </w:p>
        </w:tc>
        <w:tc>
          <w:tcPr>
            <w:tcW w:type="dxa" w:w="4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The total amount stated on the invoice — what the buyer officially owes the supplier</w:t>
            </w:r>
          </w:p>
        </w:tc>
        <w:tc>
          <w:tcPr>
            <w:tcW w:type="dxa" w:w="26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invoices.face_value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Advance amount</w:t>
            </w:r>
          </w:p>
        </w:tc>
        <w:tc>
          <w:tcPr>
            <w:tcW w:type="dxa" w:w="4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The amount MMS actually pays the supplier — face value multiplied by the advance percentage</w:t>
            </w:r>
          </w:p>
        </w:tc>
        <w:tc>
          <w:tcPr>
            <w:tcW w:type="dxa" w:w="26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invoices.advance_amount</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Advance percentage</w:t>
            </w:r>
          </w:p>
        </w:tc>
        <w:tc>
          <w:tcPr>
            <w:tcW w:type="dxa" w:w="4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The fraction of face value MMS pays — typically 85%–95% depending on risk score</w:t>
            </w:r>
          </w:p>
        </w:tc>
        <w:tc>
          <w:tcPr>
            <w:tcW w:type="dxa" w:w="26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risk_scores.max_advance_pct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Discount</w:t>
            </w:r>
          </w:p>
        </w:tc>
        <w:tc>
          <w:tcPr>
            <w:tcW w:type="dxa" w:w="4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The fee MMS charges — the difference between face value and advance amount. This is how MMS earns money</w:t>
            </w:r>
          </w:p>
        </w:tc>
        <w:tc>
          <w:tcPr>
            <w:tcW w:type="dxa" w:w="26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invoices.discount_amount</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Tenor</w:t>
            </w:r>
          </w:p>
        </w:tc>
        <w:tc>
          <w:tcPr>
            <w:tcW w:type="dxa" w:w="4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The number of days from invoice issuance to due date. Longer tenor = higher risk = higher discount</w:t>
            </w:r>
          </w:p>
        </w:tc>
        <w:tc>
          <w:tcPr>
            <w:tcW w:type="dxa" w:w="26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Pricing formula</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Notice of Assignment</w:t>
            </w:r>
          </w:p>
        </w:tc>
        <w:tc>
          <w:tcPr>
            <w:tcW w:type="dxa" w:w="4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Legal document sent to the buyer informing them the invoice has been assigned to MMS and they must pay MMS, not the supplier</w:t>
            </w:r>
          </w:p>
        </w:tc>
        <w:tc>
          <w:tcPr>
            <w:tcW w:type="dxa" w:w="26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Module 4</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Buyer confirmation</w:t>
            </w:r>
          </w:p>
        </w:tc>
        <w:tc>
          <w:tcPr>
            <w:tcW w:type="dxa" w:w="4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Buyer's formal acknowledgement that the invoice is valid and they agree to pay MMS directly</w:t>
            </w:r>
          </w:p>
        </w:tc>
        <w:tc>
          <w:tcPr>
            <w:tcW w:type="dxa" w:w="26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buyer_confirmed_at column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Concentration risk</w:t>
            </w:r>
          </w:p>
        </w:tc>
        <w:tc>
          <w:tcPr>
            <w:tcW w:type="dxa" w:w="4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Risk that too much of MMS's portfolio is owed by a single buyer. If that buyer defaults, MMS loses a large amount</w:t>
            </w:r>
          </w:p>
        </w:tc>
        <w:tc>
          <w:tcPr>
            <w:tcW w:type="dxa" w:w="26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Risk factor 4</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Recourse</w:t>
            </w:r>
          </w:p>
        </w:tc>
        <w:tc>
          <w:tcPr>
            <w:tcW w:type="dxa" w:w="4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Whether MMS can claim money back from the supplier if the buyer doesn't pay. MMS uses full recourse.</w:t>
            </w:r>
          </w:p>
        </w:tc>
        <w:tc>
          <w:tcPr>
            <w:tcW w:type="dxa" w:w="26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Legal agreements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Drawdown</w:t>
            </w:r>
          </w:p>
        </w:tc>
        <w:tc>
          <w:tcPr>
            <w:tcW w:type="dxa" w:w="4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When MMS uses its bank credit line to fund an invoice payment. Increases the facility's drawn_amount</w:t>
            </w:r>
          </w:p>
        </w:tc>
        <w:tc>
          <w:tcPr>
            <w:tcW w:type="dxa" w:w="26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bank_facilities.drawn_amount</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WAL archiving</w:t>
            </w:r>
          </w:p>
        </w:tc>
        <w:tc>
          <w:tcPr>
            <w:tcW w:type="dxa" w:w="4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Write-Ahead Log archiving — PostgreSQL's method of capturing every database change for point-in-time recovery</w:t>
            </w:r>
          </w:p>
        </w:tc>
        <w:tc>
          <w:tcPr>
            <w:tcW w:type="dxa" w:w="26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Disaster recovery</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SAR</w:t>
            </w:r>
          </w:p>
        </w:tc>
        <w:tc>
          <w:tcPr>
            <w:tcW w:type="dxa" w:w="4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Suspicious Activity Report — a formal report filed with Uganda's Financial Intelligence Authority when suspicious transactions are detected</w:t>
            </w:r>
          </w:p>
        </w:tc>
        <w:tc>
          <w:tcPr>
            <w:tcW w:type="dxa" w:w="26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Module compliance</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EFT/RTGS</w:t>
            </w:r>
          </w:p>
        </w:tc>
        <w:tc>
          <w:tcPr>
            <w:tcW w:type="dxa" w:w="4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Electronic Funds Transfer and Real-Time Gross Settlement — Uganda's bank-to-bank payment systems for large amounts</w:t>
            </w:r>
          </w:p>
        </w:tc>
        <w:tc>
          <w:tcPr>
            <w:tcW w:type="dxa" w:w="26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Payment rail</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MTN MoMo</w:t>
            </w:r>
          </w:p>
        </w:tc>
        <w:tc>
          <w:tcPr>
            <w:tcW w:type="dxa" w:w="4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MTN Mobile Money — the primary payment rail for paying smaller suppliers in Uganda</w:t>
            </w:r>
          </w:p>
        </w:tc>
        <w:tc>
          <w:tcPr>
            <w:tcW w:type="dxa" w:w="26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Module 8</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72-hour SLA</w:t>
            </w:r>
          </w:p>
        </w:tc>
        <w:tc>
          <w:tcPr>
            <w:tcW w:type="dxa" w:w="4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MMS's commitment to pay suppliers within 72 hours of invoice approval — not from submission. The SLA timer starts at approval_timestamp. System alerts Finance Manager at 48 hours, escalates to MD at 60 hours, hard alert at 66 hours. Stored in 72hr_sla_deadline column.</w:t>
            </w:r>
          </w:p>
        </w:tc>
        <w:tc>
          <w:tcPr>
            <w:tcW w:type="dxa" w:w="26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72hr_sla_deadline column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KYC</w:t>
            </w:r>
          </w:p>
        </w:tc>
        <w:tc>
          <w:tcPr>
            <w:tcW w:type="dxa" w:w="4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Know Your Customer — the process of verifying a supplier's identity and legitimacy before doing business</w:t>
            </w:r>
          </w:p>
        </w:tc>
        <w:tc>
          <w:tcPr>
            <w:tcW w:type="dxa" w:w="26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Module 2</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KYB</w:t>
            </w:r>
          </w:p>
        </w:tc>
        <w:tc>
          <w:tcPr>
            <w:tcW w:type="dxa" w:w="4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Know Your Business — the corporate equivalent of KYC — verifying the buyer company's legitimacy</w:t>
            </w:r>
          </w:p>
        </w:tc>
        <w:tc>
          <w:tcPr>
            <w:tcW w:type="dxa" w:w="26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Module 2</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Credit facility</w:t>
            </w:r>
          </w:p>
        </w:tc>
        <w:tc>
          <w:tcPr>
            <w:tcW w:type="dxa" w:w="4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The bank loan MMS uses to fund invoices. It is revolving — as buyers pay MMS, MMS repays the bank, freeing up the facility again</w:t>
            </w:r>
          </w:p>
        </w:tc>
        <w:tc>
          <w:tcPr>
            <w:tcW w:type="dxa" w:w="26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Module 10</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Portfolio yield</w:t>
            </w:r>
          </w:p>
        </w:tc>
        <w:tc>
          <w:tcPr>
            <w:tcW w:type="dxa" w:w="4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The annualised return MMS earns across all funded invoices combined — the primary profitability metric</w:t>
            </w:r>
          </w:p>
        </w:tc>
        <w:tc>
          <w:tcPr>
            <w:tcW w:type="dxa" w:w="26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Module 11 reporting</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r>
            <w:r>
              <w:t>Eligibility gate</w:t>
            </w:r>
          </w:p>
        </w:tc>
        <w:tc>
          <w:tcPr>
            <w:tcW w:type="dxa" w:w="4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r>
            <w:r>
              <w:t>A pre-registration screen that blocks ineligible entities before any account is created. Four questions: registered company, authorized signatory, years in business, funding amount. Failure blocks registration entirely. Maps to Stage 1 of the workflow.</w:t>
            </w:r>
          </w:p>
        </w:tc>
        <w:tc>
          <w:tcPr>
            <w:tcW w:type="dxa" w:w="26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r>
            <w:r>
              <w:t>Module 0 / eligibility service</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r>
            <w:r/>
            <w:r>
              <w:t>Collateral</w:t>
            </w:r>
          </w:p>
        </w:tc>
        <w:tc>
          <w:tcPr>
            <w:tcW w:type="dxa" w:w="4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r>
            <w:r/>
            <w:r>
              <w:t>Security held by MMS against a funded invoice. Must be recorded and verified before payment is released. Types: post-dated cheques, bank guarantees, fixed deposit lien, corporate guarantees, assignment of receivables. Coverage must equal or exceed invoice face value. Maps to Stage 10 of the workflow.</w:t>
            </w:r>
          </w:p>
        </w:tc>
        <w:tc>
          <w:tcPr>
            <w:tcW w:type="dxa" w:w="26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r>
            <w:r/>
            <w:r>
              <w:t>collateral table / Module 8b</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r>
            <w:r/>
            <w:r/>
            <w:r>
              <w:t>Collateral coverage ratio</w:t>
            </w:r>
          </w:p>
        </w:tc>
        <w:tc>
          <w:tcPr>
            <w:tcW w:type="dxa" w:w="4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r>
            <w:r/>
            <w:r/>
            <w:r>
              <w:t>The ratio of collateral value to invoice face value. Must be &gt;= 100% (configurable) before disbursement is permitted. System blocks payment if coverage is insufficient.</w:t>
            </w:r>
          </w:p>
        </w:tc>
        <w:tc>
          <w:tcPr>
            <w:tcW w:type="dxa" w:w="26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r>
            <w:r/>
            <w:r/>
            <w:r>
              <w:t>COLLATERAL_MIN_COVERAGE_RATIO env var</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r>
            <w:r/>
            <w:r/>
            <w:r/>
            <w:r>
              <w:t>Settlement ledger</w:t>
            </w:r>
          </w:p>
        </w:tc>
        <w:tc>
          <w:tcPr>
            <w:tcW w:type="dxa" w:w="4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r>
            <w:r/>
            <w:r/>
            <w:r/>
            <w:r>
              <w:t>The final financial record created when a buyer pays MMS at maturity. Records: face value, advance paid to supplier, discount earned, bank interest cost, net MMS profit, profit margin %. Immutable once created. Maps to Stage 13 of the workflow.</w:t>
            </w:r>
          </w:p>
        </w:tc>
        <w:tc>
          <w:tcPr>
            <w:tcW w:type="dxa" w:w="26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r>
            <w:r/>
            <w:r/>
            <w:r/>
            <w:r>
              <w:t>settlement_ledger table / Module 11b</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r>
            <w:r/>
            <w:r/>
            <w:r/>
            <w:r/>
            <w:r>
              <w:t>Profit margin per invoice</w:t>
            </w:r>
          </w:p>
        </w:tc>
        <w:tc>
          <w:tcPr>
            <w:tcW w:type="dxa" w:w="4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r>
            <w:r/>
            <w:r/>
            <w:r/>
            <w:r/>
            <w:r>
              <w:t>Net MMS profit divided by face value, expressed as a percentage. Formula: (discount_amount - bank_interest_cost) / face_value × 100. Stored in settlement_ledger for every funded invoice.</w:t>
            </w:r>
          </w:p>
        </w:tc>
        <w:tc>
          <w:tcPr>
            <w:tcW w:type="dxa" w:w="26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r>
            <w:r/>
            <w:r/>
            <w:r/>
            <w:r/>
            <w:r>
              <w:t>settlement_ledger.profit_margin_pct</w:t>
            </w:r>
          </w:p>
        </w:tc>
      </w:tr>
    </w:tbl>
    <w:p>
      <w:pPr>
        <w:spacing w:before="0" w:after="0"/>
      </w:pPr>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3A5C" w:val="clear"/>
            <w:tcMar>
              <w:top w:type="dxa" w:w="120"/>
              <w:left w:type="dxa" w:w="240"/>
              <w:bottom w:type="dxa" w:w="120"/>
              <w:right w:type="dxa" w:w="160"/>
            </w:tcMar>
          </w:tcPr>
          <w:p>
            <w:pPr>
              <w:spacing w:before="0" w:after="0"/>
            </w:pPr>
            <w:r>
              <w:rPr>
                <w:rFonts w:ascii="Arial" w:cs="Arial" w:eastAsia="Arial" w:hAnsi="Arial"/>
                <w:b/>
                <w:bCs/>
                <w:color w:val="FFFFFF"/>
                <w:sz w:val="24"/>
                <w:szCs w:val="24"/>
              </w:rPr>
              <w:t xml:space="preserve">Section 7 — Worked Financial Examples: Verify Your Implementation</w:t>
            </w:r>
          </w:p>
        </w:tc>
      </w:tr>
    </w:tbl>
    <w:p>
      <w:pPr>
        <w:spacing w:before="0" w:after="160"/>
      </w:pPr>
      <w:r>
        <w:t xml:space="preserve"/>
      </w:r>
    </w:p>
    <w:p>
      <w:pPr>
        <w:spacing w:before="60" w:after="100"/>
        <w:jc w:val="left"/>
      </w:pPr>
      <w:r>
        <w:rPr>
          <w:rFonts w:ascii="Arial" w:cs="Arial" w:eastAsia="Arial" w:hAnsi="Arial"/>
          <w:b w:val="false"/>
          <w:bCs w:val="false"/>
          <w:i w:val="false"/>
          <w:iCs w:val="false"/>
          <w:color w:val="374151"/>
          <w:sz w:val="22"/>
          <w:szCs w:val="22"/>
        </w:rPr>
        <w:t xml:space="preserve">These worked examples must produce the exact outputs shown when run through your implementation. If your code produces different numbers, the implementation is wrong. Use these as acceptance tests for Modules 5, 6, and 8.</w:t>
      </w:r>
    </w:p>
    <w:p>
      <w:pPr>
        <w:spacing w:before="0" w:after="140"/>
      </w:pPr>
      <w:r>
        <w:t xml:space="preserve"/>
      </w:r>
    </w:p>
    <w:p>
      <w:pPr>
        <w:pStyle w:val="Heading2"/>
        <w:pBdr>
          <w:bottom w:val="single" w:color="D1D5DB" w:sz="4" w:space="4"/>
        </w:pBdr>
        <w:spacing w:before="320" w:after="120"/>
      </w:pPr>
      <w:r>
        <w:rPr>
          <w:rFonts w:ascii="Arial" w:cs="Arial" w:eastAsia="Arial" w:hAnsi="Arial"/>
          <w:b/>
          <w:bCs/>
          <w:color w:val="1A3A5C"/>
          <w:sz w:val="28"/>
          <w:szCs w:val="28"/>
        </w:rPr>
        <w:t xml:space="preserve">Example 1 — Standard Invoice Funding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Input</w:t>
            </w:r>
          </w:p>
        </w:tc>
        <w:tc>
          <w:tcPr>
            <w:tcW w:type="dxa" w:w="5426"/>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Value</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Invoice face value</w:t>
            </w:r>
          </w:p>
        </w:tc>
        <w:tc>
          <w:tcPr>
            <w:tcW w:type="dxa" w:w="54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UGX 50,000,000</w:t>
            </w:r>
          </w:p>
        </w:tc>
      </w:tr>
      <w:tr>
        <w:tc>
          <w:tcPr>
            <w:tcW w:type="dxa" w:w="3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Buyer credit rating</w:t>
            </w:r>
          </w:p>
        </w:tc>
        <w:tc>
          <w:tcPr>
            <w:tcW w:type="dxa" w:w="54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B (score = 75)</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Invoice tenor</w:t>
            </w:r>
          </w:p>
        </w:tc>
        <w:tc>
          <w:tcPr>
            <w:tcW w:type="dxa" w:w="54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45 days</w:t>
            </w:r>
          </w:p>
        </w:tc>
      </w:tr>
      <w:tr>
        <w:tc>
          <w:tcPr>
            <w:tcW w:type="dxa" w:w="3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Supplier track record</w:t>
            </w:r>
          </w:p>
        </w:tc>
        <w:tc>
          <w:tcPr>
            <w:tcW w:type="dxa" w:w="54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8 invoices, 100% on time (score = 100)</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Buyer utilisation after this invoice</w:t>
            </w:r>
          </w:p>
        </w:tc>
        <w:tc>
          <w:tcPr>
            <w:tcW w:type="dxa" w:w="54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55% of credit limit</w:t>
            </w:r>
          </w:p>
        </w:tc>
      </w:tr>
      <w:tr>
        <w:tc>
          <w:tcPr>
            <w:tcW w:type="dxa" w:w="3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Collateral</w:t>
            </w:r>
          </w:p>
        </w:tc>
        <w:tc>
          <w:tcPr>
            <w:tcW w:type="dxa" w:w="54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Post-dated cheque for full value (score = 60)</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Bank cost of funds (annual)</w:t>
            </w:r>
          </w:p>
        </w:tc>
        <w:tc>
          <w:tcPr>
            <w:tcW w:type="dxa" w:w="54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18%</w:t>
            </w:r>
          </w:p>
        </w:tc>
      </w:tr>
      <w:tr>
        <w:tc>
          <w:tcPr>
            <w:tcW w:type="dxa" w:w="3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MMS margin (annual)</w:t>
            </w:r>
          </w:p>
        </w:tc>
        <w:tc>
          <w:tcPr>
            <w:tcW w:type="dxa" w:w="54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3%</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Buyer risk premium</w:t>
            </w:r>
          </w:p>
        </w:tc>
        <w:tc>
          <w:tcPr>
            <w:tcW w:type="dxa" w:w="54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0.5% (score 65-74)</w:t>
            </w:r>
          </w:p>
        </w:tc>
      </w:tr>
    </w:tbl>
    <w:p>
      <w:pPr>
        <w:spacing w:before="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Calculation step</w:t>
            </w:r>
          </w:p>
        </w:tc>
        <w:tc>
          <w:tcPr>
            <w:tcW w:type="dxa" w:w="30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Working</w:t>
            </w:r>
          </w:p>
        </w:tc>
        <w:tc>
          <w:tcPr>
            <w:tcW w:type="dxa" w:w="3026"/>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Expected result</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Buyer credit score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B = 75 × 30% weight</w:t>
            </w:r>
          </w:p>
        </w:tc>
        <w:tc>
          <w:tcPr>
            <w:tcW w:type="dxa" w:w="30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22.5 points</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Tenor score</w:t>
            </w:r>
          </w:p>
        </w:tc>
        <w:tc>
          <w:tcPr>
            <w:tcW w:type="dxa" w:w="3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45 days = 75 × 20% weight</w:t>
            </w:r>
          </w:p>
        </w:tc>
        <w:tc>
          <w:tcPr>
            <w:tcW w:type="dxa" w:w="30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15.0 points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Supplier track record score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100 × 20% weight</w:t>
            </w:r>
          </w:p>
        </w:tc>
        <w:tc>
          <w:tcPr>
            <w:tcW w:type="dxa" w:w="30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20.0 points</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Concentration risk score</w:t>
            </w:r>
          </w:p>
        </w:tc>
        <w:tc>
          <w:tcPr>
            <w:tcW w:type="dxa" w:w="3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55% utilisation = 75 × 15% weight</w:t>
            </w:r>
          </w:p>
        </w:tc>
        <w:tc>
          <w:tcPr>
            <w:tcW w:type="dxa" w:w="30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11.25 points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Collateral score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Post-dated cheque = 60 × 15% weight</w:t>
            </w:r>
          </w:p>
        </w:tc>
        <w:tc>
          <w:tcPr>
            <w:tcW w:type="dxa" w:w="30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9.0 points</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Final risk score</w:t>
            </w:r>
          </w:p>
        </w:tc>
        <w:tc>
          <w:tcPr>
            <w:tcW w:type="dxa" w:w="3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22.5 + 15.0 + 20.0 + 11.25 + 9.0</w:t>
            </w:r>
          </w:p>
        </w:tc>
        <w:tc>
          <w:tcPr>
            <w:tcW w:type="dxa" w:w="30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77.75 → ROUND TO 78</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Recommendation</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Score 78 ≥ 75</w:t>
            </w:r>
          </w:p>
        </w:tc>
        <w:tc>
          <w:tcPr>
            <w:tcW w:type="dxa" w:w="30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AUTO APPROVE</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Max advance percentage</w:t>
            </w:r>
          </w:p>
        </w:tc>
        <w:tc>
          <w:tcPr>
            <w:tcW w:type="dxa" w:w="3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Score 75+ = 95%</w:t>
            </w:r>
          </w:p>
        </w:tc>
        <w:tc>
          <w:tcPr>
            <w:tcW w:type="dxa" w:w="30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95%</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Advance amount</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50,000,000 × 95%</w:t>
            </w:r>
          </w:p>
        </w:tc>
        <w:tc>
          <w:tcPr>
            <w:tcW w:type="dxa" w:w="30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UGX 47,500,000</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Discount rate</w:t>
            </w:r>
          </w:p>
        </w:tc>
        <w:tc>
          <w:tcPr>
            <w:tcW w:type="dxa" w:w="3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(18 + 0.5 + 3) × (45/365)</w:t>
            </w:r>
          </w:p>
        </w:tc>
        <w:tc>
          <w:tcPr>
            <w:tcW w:type="dxa" w:w="30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2.664%</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Discount amount</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50,000,000 × 2.664%</w:t>
            </w:r>
          </w:p>
        </w:tc>
        <w:tc>
          <w:tcPr>
            <w:tcW w:type="dxa" w:w="30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UGX 1,332,192</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Net payment to supplier</w:t>
            </w:r>
          </w:p>
        </w:tc>
        <w:tc>
          <w:tcPr>
            <w:tcW w:type="dxa" w:w="3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47,500,000 − 1,332,192</w:t>
            </w:r>
          </w:p>
        </w:tc>
        <w:tc>
          <w:tcPr>
            <w:tcW w:type="dxa" w:w="30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UGX 46,167,808</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MMS gross profit (before bank cost)</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1,332,192</w:t>
            </w:r>
          </w:p>
        </w:tc>
        <w:tc>
          <w:tcPr>
            <w:tcW w:type="dxa" w:w="30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UGX 1,332,192</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Bank interest cost</w:t>
            </w:r>
          </w:p>
        </w:tc>
        <w:tc>
          <w:tcPr>
            <w:tcW w:type="dxa" w:w="3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47,500,000 × 18% × (45/365)</w:t>
            </w:r>
          </w:p>
        </w:tc>
        <w:tc>
          <w:tcPr>
            <w:tcW w:type="dxa" w:w="30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UGX 1,051,233</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MMS net profit</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1,332,192 − 1,051,233</w:t>
            </w:r>
          </w:p>
        </w:tc>
        <w:tc>
          <w:tcPr>
            <w:tcW w:type="dxa" w:w="30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UGX 280,959</w:t>
            </w:r>
          </w:p>
        </w:tc>
      </w:tr>
    </w:tbl>
    <w:p>
      <w:pPr>
        <w:spacing w:before="0" w:after="140"/>
      </w:pPr>
      <w:r>
        <w:t xml:space="preserve"/>
      </w:r>
    </w:p>
    <w:p>
      <w:pPr>
        <w:pStyle w:val="Heading2"/>
        <w:pBdr>
          <w:bottom w:val="single" w:color="D1D5DB" w:sz="4" w:space="4"/>
        </w:pBdr>
        <w:spacing w:before="320" w:after="120"/>
      </w:pPr>
      <w:r>
        <w:rPr>
          <w:rFonts w:ascii="Arial" w:cs="Arial" w:eastAsia="Arial" w:hAnsi="Arial"/>
          <w:b/>
          <w:bCs/>
          <w:color w:val="1A3A5C"/>
          <w:sz w:val="28"/>
          <w:szCs w:val="28"/>
        </w:rPr>
        <w:t xml:space="preserve">Example 2 — Overdue Penalty Calculation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Scenario</w:t>
            </w:r>
          </w:p>
        </w:tc>
        <w:tc>
          <w:tcPr>
            <w:tcW w:type="dxa" w:w="5426"/>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Value</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Invoice face value</w:t>
            </w:r>
          </w:p>
        </w:tc>
        <w:tc>
          <w:tcPr>
            <w:tcW w:type="dxa" w:w="54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UGX 20,000,000</w:t>
            </w:r>
          </w:p>
        </w:tc>
      </w:tr>
      <w:tr>
        <w:tc>
          <w:tcPr>
            <w:tcW w:type="dxa" w:w="3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Due date</w:t>
            </w:r>
          </w:p>
        </w:tc>
        <w:tc>
          <w:tcPr>
            <w:tcW w:type="dxa" w:w="54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Day 0 (today)</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Buyer has not paid after 7 days</w:t>
            </w:r>
          </w:p>
        </w:tc>
        <w:tc>
          <w:tcPr>
            <w:tcW w:type="dxa" w:w="54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Days overdue = 7</w:t>
            </w:r>
          </w:p>
        </w:tc>
      </w:tr>
      <w:tr>
        <w:tc>
          <w:tcPr>
            <w:tcW w:type="dxa" w:w="3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Daily penalty rate</w:t>
            </w:r>
          </w:p>
        </w:tc>
        <w:tc>
          <w:tcPr>
            <w:tcW w:type="dxa" w:w="54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0.1% per day of face value</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Penalty calculation</w:t>
            </w:r>
          </w:p>
        </w:tc>
        <w:tc>
          <w:tcPr>
            <w:tcW w:type="dxa" w:w="54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20,000,000 × 0.1% × 7 days</w:t>
            </w:r>
          </w:p>
        </w:tc>
      </w:tr>
      <w:tr>
        <w:tc>
          <w:tcPr>
            <w:tcW w:type="dxa" w:w="3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Expected penalty amount</w:t>
            </w:r>
          </w:p>
        </w:tc>
        <w:tc>
          <w:tcPr>
            <w:tcW w:type="dxa" w:w="54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UGX 140,000</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Who bears the penalty</w:t>
            </w:r>
          </w:p>
        </w:tc>
        <w:tc>
          <w:tcPr>
            <w:tcW w:type="dxa" w:w="54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Buyer — deducted from their payment to MMS</w:t>
            </w:r>
          </w:p>
        </w:tc>
      </w:tr>
      <w:tr>
        <w:tc>
          <w:tcPr>
            <w:tcW w:type="dxa" w:w="3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Supplier impact</w:t>
            </w:r>
          </w:p>
        </w:tc>
        <w:tc>
          <w:tcPr>
            <w:tcW w:type="dxa" w:w="54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None — supplier already received their 47.5M advance</w:t>
            </w:r>
          </w:p>
        </w:tc>
      </w:tr>
    </w:tbl>
    <w:p>
      <w:pPr>
        <w:spacing w:before="0" w:after="140"/>
      </w:pPr>
      <w:r>
        <w:t xml:space="preserve"/>
      </w:r>
    </w:p>
    <w:p>
      <w:pPr>
        <w:pStyle w:val="Heading2"/>
        <w:pBdr>
          <w:bottom w:val="single" w:color="D1D5DB" w:sz="4" w:space="4"/>
        </w:pBdr>
        <w:spacing w:before="320" w:after="120"/>
      </w:pPr>
      <w:r>
        <w:rPr>
          <w:rFonts w:ascii="Arial" w:cs="Arial" w:eastAsia="Arial" w:hAnsi="Arial"/>
          <w:b/>
          <w:bCs/>
          <w:color w:val="1A3A5C"/>
          <w:sz w:val="28"/>
          <w:szCs w:val="28"/>
        </w:rPr>
        <w:t xml:space="preserve">Example 3 — Bank Facility Drawdown and Interest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Scenario</w:t>
            </w:r>
          </w:p>
        </w:tc>
        <w:tc>
          <w:tcPr>
            <w:tcW w:type="dxa" w:w="5426"/>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Value</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Facility limit</w:t>
            </w:r>
          </w:p>
        </w:tc>
        <w:tc>
          <w:tcPr>
            <w:tcW w:type="dxa" w:w="54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UGX 500,000,000</w:t>
            </w:r>
          </w:p>
        </w:tc>
      </w:tr>
      <w:tr>
        <w:tc>
          <w:tcPr>
            <w:tcW w:type="dxa" w:w="3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Current drawn amount (before this invoice)</w:t>
            </w:r>
          </w:p>
        </w:tc>
        <w:tc>
          <w:tcPr>
            <w:tcW w:type="dxa" w:w="54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UGX 200,000,000</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This invoice advance amount</w:t>
            </w:r>
          </w:p>
        </w:tc>
        <w:tc>
          <w:tcPr>
            <w:tcW w:type="dxa" w:w="54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UGX 47,500,000</w:t>
            </w:r>
          </w:p>
        </w:tc>
      </w:tr>
      <w:tr>
        <w:tc>
          <w:tcPr>
            <w:tcW w:type="dxa" w:w="3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New drawn amount</w:t>
            </w:r>
          </w:p>
        </w:tc>
        <w:tc>
          <w:tcPr>
            <w:tcW w:type="dxa" w:w="54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UGX 247,500,000</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Facility utilisation</w:t>
            </w:r>
          </w:p>
        </w:tc>
        <w:tc>
          <w:tcPr>
            <w:tcW w:type="dxa" w:w="54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247,500,000 / 500,000,000 = 49.5%</w:t>
            </w:r>
          </w:p>
        </w:tc>
      </w:tr>
      <w:tr>
        <w:tc>
          <w:tcPr>
            <w:tcW w:type="dxa" w:w="3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Alert status</w:t>
            </w:r>
          </w:p>
        </w:tc>
        <w:tc>
          <w:tcPr>
            <w:tcW w:type="dxa" w:w="54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Under 80% — no alert triggered</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Daily interest on full drawdown</w:t>
            </w:r>
          </w:p>
        </w:tc>
        <w:tc>
          <w:tcPr>
            <w:tcW w:type="dxa" w:w="54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247,500,000 × 18% / 365 = UGX 122,054 per day</w:t>
            </w:r>
          </w:p>
        </w:tc>
      </w:tr>
      <w:tr>
        <w:tc>
          <w:tcPr>
            <w:tcW w:type="dxa" w:w="3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Interest after 45 days (this invoice)</w:t>
            </w:r>
          </w:p>
        </w:tc>
        <w:tc>
          <w:tcPr>
            <w:tcW w:type="dxa" w:w="54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122,054 × 45 = UGX 5,492,432 (on full drawn balance)</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When buyer pays full 50,000,000 to MMS</w:t>
            </w:r>
          </w:p>
        </w:tc>
        <w:tc>
          <w:tcPr>
            <w:tcW w:type="dxa" w:w="54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Repay 47,500,000 principal + accrued interest from this invoice's portion</w:t>
            </w:r>
          </w:p>
        </w:tc>
      </w:tr>
    </w:tbl>
    <w:p>
      <w:pPr>
        <w:spacing w:before="0" w:after="0"/>
      </w:pPr>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3A5C" w:val="clear"/>
            <w:tcMar>
              <w:top w:type="dxa" w:w="120"/>
              <w:left w:type="dxa" w:w="240"/>
              <w:bottom w:type="dxa" w:w="120"/>
              <w:right w:type="dxa" w:w="160"/>
            </w:tcMar>
          </w:tcPr>
          <w:p>
            <w:pPr>
              <w:spacing w:before="0" w:after="0"/>
            </w:pPr>
            <w:r>
              <w:rPr>
                <w:rFonts w:ascii="Arial" w:cs="Arial" w:eastAsia="Arial" w:hAnsi="Arial"/>
                <w:b/>
                <w:bCs/>
                <w:color w:val="FFFFFF"/>
                <w:sz w:val="24"/>
                <w:szCs w:val="24"/>
              </w:rPr>
              <w:t xml:space="preserve">Section 8 — Environment Variables: Complete Reference</w:t>
            </w:r>
          </w:p>
        </w:tc>
      </w:tr>
    </w:tbl>
    <w:p>
      <w:pPr>
        <w:spacing w:before="0"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1B1B" w:sz="6"/>
              <w:left w:val="single" w:color="991B1B" w:sz="16"/>
              <w:bottom w:val="single" w:color="991B1B" w:sz="2"/>
              <w:right w:val="single" w:color="991B1B" w:sz="2"/>
            </w:tcBorders>
            <w:shd w:fill="FEF2F2" w:val="clear"/>
            <w:tcMar>
              <w:top w:type="dxa" w:w="120"/>
              <w:left w:type="dxa" w:w="200"/>
              <w:bottom w:type="dxa" w:w="120"/>
              <w:right w:type="dxa" w:w="160"/>
            </w:tcMar>
          </w:tcPr>
          <w:p>
            <w:pPr>
              <w:spacing w:before="0" w:after="0"/>
            </w:pPr>
            <w:r>
              <w:rPr>
                <w:rFonts w:ascii="Arial" w:cs="Arial" w:eastAsia="Arial" w:hAnsi="Arial"/>
                <w:color w:val="991B1B"/>
                <w:sz w:val="21"/>
                <w:szCs w:val="21"/>
              </w:rPr>
              <w:t xml:space="preserve">Never commit .env.local or any file containing real credentials to Git. The .gitignore file blocks .env.local but this requires every developer to be vigilant. If you accidentally commit a credential, rotate it immediately and notify the Technical Lead.</w:t>
            </w:r>
          </w:p>
        </w:tc>
      </w:tr>
    </w:tbl>
    <w:p>
      <w:pPr>
        <w:spacing w:before="0" w:after="1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2200"/>
        <w:gridCol w:w="1426"/>
      </w:tblGrid>
      <w:tr>
        <w:tc>
          <w:tcPr>
            <w:tcW w:type="dxa" w:w="28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Variable name</w:t>
            </w:r>
          </w:p>
        </w:tc>
        <w:tc>
          <w:tcPr>
            <w:tcW w:type="dxa" w:w="26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Description</w:t>
            </w:r>
          </w:p>
        </w:tc>
        <w:tc>
          <w:tcPr>
            <w:tcW w:type="dxa" w:w="22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Example value</w:t>
            </w:r>
          </w:p>
        </w:tc>
        <w:tc>
          <w:tcPr>
            <w:tcW w:type="dxa" w:w="1426"/>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Required?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NODE_ENV</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Runtime environment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development / staging / production</w:t>
            </w:r>
          </w:p>
        </w:tc>
        <w:tc>
          <w:tcPr>
            <w:tcW w:type="dxa" w:w="14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Yes</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PORT</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API server port</w:t>
            </w:r>
          </w:p>
        </w:tc>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3000</w:t>
            </w:r>
          </w:p>
        </w:tc>
        <w:tc>
          <w:tcPr>
            <w:tcW w:type="dxa" w:w="14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Yes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DATABASE_URL</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PostgreSQL connection string</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postgresql://mms_user:pass@localhost:5432/mms_dev</w:t>
            </w:r>
          </w:p>
        </w:tc>
        <w:tc>
          <w:tcPr>
            <w:tcW w:type="dxa" w:w="14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Yes</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DATABASE_POOL_MIN</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Minimum DB connections</w:t>
            </w:r>
          </w:p>
        </w:tc>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2</w:t>
            </w:r>
          </w:p>
        </w:tc>
        <w:tc>
          <w:tcPr>
            <w:tcW w:type="dxa" w:w="14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Yes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DATABASE_POOL_MAX</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Maximum DB connections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10</w:t>
            </w:r>
          </w:p>
        </w:tc>
        <w:tc>
          <w:tcPr>
            <w:tcW w:type="dxa" w:w="14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Yes</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REDIS_URL</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Redis connection string</w:t>
            </w:r>
          </w:p>
        </w:tc>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redis://localhost:6379</w:t>
            </w:r>
          </w:p>
        </w:tc>
        <w:tc>
          <w:tcPr>
            <w:tcW w:type="dxa" w:w="14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Yes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JWT_SECRET</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JWT signing secret — minimum 256 bits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[64 random hex chars from crypto.randomBytes(32)]</w:t>
            </w:r>
          </w:p>
        </w:tc>
        <w:tc>
          <w:tcPr>
            <w:tcW w:type="dxa" w:w="14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Yes</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JWT_EXPIRY</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Access token expiry</w:t>
            </w:r>
          </w:p>
        </w:tc>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15m</w:t>
            </w:r>
          </w:p>
        </w:tc>
        <w:tc>
          <w:tcPr>
            <w:tcW w:type="dxa" w:w="14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Yes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REFRESH_TOKEN_EXPIRY</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Refresh token expiry</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7d</w:t>
            </w:r>
          </w:p>
        </w:tc>
        <w:tc>
          <w:tcPr>
            <w:tcW w:type="dxa" w:w="14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Yes</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ENCRYPTION_KEY</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AES-256 key for documents and PII</w:t>
            </w:r>
          </w:p>
        </w:tc>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[64 random hex chars — must be same across all servers]</w:t>
            </w:r>
          </w:p>
        </w:tc>
        <w:tc>
          <w:tcPr>
            <w:tcW w:type="dxa" w:w="14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Yes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MTN_MOMO_API_KEY</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MTN Mobile Money API subscription key</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[From MTN portal]</w:t>
            </w:r>
          </w:p>
        </w:tc>
        <w:tc>
          <w:tcPr>
            <w:tcW w:type="dxa" w:w="14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Module 8</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MTN_MOMO_USER_ID</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MTN MoMo API user ID</w:t>
            </w:r>
          </w:p>
        </w:tc>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[From MTN portal]</w:t>
            </w:r>
          </w:p>
        </w:tc>
        <w:tc>
          <w:tcPr>
            <w:tcW w:type="dxa" w:w="14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Module 8</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MTN_MOMO_BASE_URL</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MTN MoMo API base URL</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https://sandbox.momodeveloper.mtn.com</w:t>
            </w:r>
          </w:p>
        </w:tc>
        <w:tc>
          <w:tcPr>
            <w:tcW w:type="dxa" w:w="14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Module 8</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AIRTEL_CLIENT_ID</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Airtel Money OAuth client ID</w:t>
            </w:r>
          </w:p>
        </w:tc>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[From Airtel portal]</w:t>
            </w:r>
          </w:p>
        </w:tc>
        <w:tc>
          <w:tcPr>
            <w:tcW w:type="dxa" w:w="14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Module 8</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AIRTEL_CLIENT_SECRET</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Airtel Money OAuth secret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[From Airtel portal]</w:t>
            </w:r>
          </w:p>
        </w:tc>
        <w:tc>
          <w:tcPr>
            <w:tcW w:type="dxa" w:w="14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Module 8</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AIRTEL_BASE_URL</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Airtel Money API base URL</w:t>
            </w:r>
          </w:p>
        </w:tc>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https://openapi.airtel.africa</w:t>
            </w:r>
          </w:p>
        </w:tc>
        <w:tc>
          <w:tcPr>
            <w:tcW w:type="dxa" w:w="14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Module 8</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SENDGRID_API_KEY</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SendGrid email delivery key</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SG.[rest of key]</w:t>
            </w:r>
          </w:p>
        </w:tc>
        <w:tc>
          <w:tcPr>
            <w:tcW w:type="dxa" w:w="14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Module 2</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SENDGRID_FROM_EMAIL</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Sender email address</w:t>
            </w:r>
          </w:p>
        </w:tc>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payments@mms.co.ug</w:t>
            </w:r>
          </w:p>
        </w:tc>
        <w:tc>
          <w:tcPr>
            <w:tcW w:type="dxa" w:w="14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Module 2</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AT_API_KEY</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Africa's Talking API key</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[From AT portal]</w:t>
            </w:r>
          </w:p>
        </w:tc>
        <w:tc>
          <w:tcPr>
            <w:tcW w:type="dxa" w:w="14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Module 9</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AT_USERNAME</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Africa's Talking username</w:t>
            </w:r>
          </w:p>
        </w:tc>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mms-sandbox</w:t>
            </w:r>
          </w:p>
        </w:tc>
        <w:tc>
          <w:tcPr>
            <w:tcW w:type="dxa" w:w="14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Module 9</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AT_SENDER_ID</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SMS sender ID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MMS</w:t>
            </w:r>
          </w:p>
        </w:tc>
        <w:tc>
          <w:tcPr>
            <w:tcW w:type="dxa" w:w="14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Module 9</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MAX_INVOICE_TENOR_DAYS</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Maximum allowed invoice tenor</w:t>
            </w:r>
          </w:p>
        </w:tc>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90</w:t>
            </w:r>
          </w:p>
        </w:tc>
        <w:tc>
          <w:tcPr>
            <w:tcW w:type="dxa" w:w="14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Yes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MIN_INVOICE_TENOR_DAYS</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Minimum allowed invoice tenor</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7</w:t>
            </w:r>
          </w:p>
        </w:tc>
        <w:tc>
          <w:tcPr>
            <w:tcW w:type="dxa" w:w="14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Yes</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AML_FLAG_THRESHOLD_UGX</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Invoice value that triggers AML flag</w:t>
            </w:r>
          </w:p>
        </w:tc>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100000000</w:t>
            </w:r>
          </w:p>
        </w:tc>
        <w:tc>
          <w:tcPr>
            <w:tcW w:type="dxa" w:w="14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Yes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DUAL_AUTH_REQUIRED</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Enforce dual authorisation on payments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true</w:t>
            </w:r>
          </w:p>
        </w:tc>
        <w:tc>
          <w:tcPr>
            <w:tcW w:type="dxa" w:w="14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Yes — never set to false</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RATE_LIMIT_AUTH_MAX</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Max login attempts per window</w:t>
            </w:r>
          </w:p>
        </w:tc>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10</w:t>
            </w:r>
          </w:p>
        </w:tc>
        <w:tc>
          <w:tcPr>
            <w:tcW w:type="dxa" w:w="14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Yes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RATE_LIMIT_AUTH_WINDOW_MS</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Rate limit window in milliseconds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900000</w:t>
            </w:r>
          </w:p>
        </w:tc>
        <w:tc>
          <w:tcPr>
            <w:tcW w:type="dxa" w:w="14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Yes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r>
            <w:r>
              <w:t>COLLATERAL_MIN_COVERAGE_RATIO</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r>
            <w:r>
              <w:t>Minimum collateral value as a fraction of invoice face value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r>
            <w:r>
              <w:t>1.0 (100%)</w:t>
            </w:r>
          </w:p>
        </w:tc>
        <w:tc>
          <w:tcPr>
            <w:tcW w:type="dxa" w:w="14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r>
            <w:r>
              <w:t>Module 8b</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r>
            <w:r/>
            <w:r>
              <w:t>DAILY_PENALTY_RATE</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r>
            <w:r/>
            <w:r>
              <w:t>Daily penalty rate applied to overdue invoices as decimal</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r>
            <w:r/>
            <w:r>
              <w:t>0.001 (0.1% per day)</w:t>
            </w:r>
          </w:p>
        </w:tc>
        <w:tc>
          <w:tcPr>
            <w:tcW w:type="dxa" w:w="14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r>
            <w:r/>
            <w:r>
              <w:t>Module 9</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r>
            <w:r/>
            <w:r/>
            <w:r>
              <w:t>COLLATERAL_EXPIRY_ALERT_DAYS</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r>
            <w:r/>
            <w:r/>
            <w:r>
              <w:t>Days before collateral expiry to trigger Credit Officer alert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r>
            <w:r/>
            <w:r/>
            <w:r>
              <w:t>30</w:t>
            </w:r>
          </w:p>
        </w:tc>
        <w:tc>
          <w:tcPr>
            <w:tcW w:type="dxa" w:w="14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r>
            <w:r/>
            <w:r/>
            <w:r>
              <w:t>Module 8b</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r>
            <w:r/>
            <w:r/>
            <w:r/>
            <w:r>
              <w:t>ELIGIBILITY_SESSION_TTL_SECONDS</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r>
            <w:r/>
            <w:r/>
            <w:r/>
            <w:r>
              <w:t>How long eligibility session token is valid before re-check required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r>
            <w:r/>
            <w:r/>
            <w:r/>
            <w:r>
              <w:t>1800 (30 minutes)</w:t>
            </w:r>
          </w:p>
        </w:tc>
        <w:tc>
          <w:tcPr>
            <w:tcW w:type="dxa" w:w="14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r>
            <w:r/>
            <w:r/>
            <w:r/>
            <w:r>
              <w:t>Module 0</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r>
            <w:r/>
            <w:r/>
            <w:r/>
            <w:r/>
            <w:r>
              <w:t>ELIGIBILITY_MIN_YEARS_IN_BUSINESS</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r>
            <w:r/>
            <w:r/>
            <w:r/>
            <w:r/>
            <w:r>
              <w:t>Minimum years in business to pass eligibility check</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r>
            <w:r/>
            <w:r/>
            <w:r/>
            <w:r/>
            <w:r>
              <w:t>1</w:t>
            </w:r>
          </w:p>
        </w:tc>
        <w:tc>
          <w:tcPr>
            <w:tcW w:type="dxa" w:w="14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r>
            <w:r/>
            <w:r/>
            <w:r/>
            <w:r/>
            <w:r>
              <w:t>Module 0</w:t>
            </w:r>
          </w:p>
        </w:tc>
      </w:tr>
    </w:tbl>
    <w:p>
      <w:pPr>
        <w:spacing w:before="0" w:after="0"/>
      </w:pPr>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3A5C" w:val="clear"/>
            <w:tcMar>
              <w:top w:type="dxa" w:w="120"/>
              <w:left w:type="dxa" w:w="240"/>
              <w:bottom w:type="dxa" w:w="120"/>
              <w:right w:type="dxa" w:w="160"/>
            </w:tcMar>
          </w:tcPr>
          <w:p>
            <w:pPr>
              <w:spacing w:before="0" w:after="0"/>
            </w:pPr>
            <w:r>
              <w:rPr>
                <w:rFonts w:ascii="Arial" w:cs="Arial" w:eastAsia="Arial" w:hAnsi="Arial"/>
                <w:b/>
                <w:bCs/>
                <w:color w:val="FFFFFF"/>
                <w:sz w:val="24"/>
                <w:szCs w:val="24"/>
              </w:rPr>
              <w:t xml:space="preserve">Section 9 — Troubleshooting Common Setup Issues</w:t>
            </w:r>
          </w:p>
        </w:tc>
      </w:tr>
    </w:tbl>
    <w:p>
      <w:pPr>
        <w:spacing w:before="0"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826"/>
      </w:tblGrid>
      <w:tr>
        <w:tc>
          <w:tcPr>
            <w:tcW w:type="dxa" w:w="24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Problem</w:t>
            </w:r>
          </w:p>
        </w:tc>
        <w:tc>
          <w:tcPr>
            <w:tcW w:type="dxa" w:w="28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Likely cause</w:t>
            </w:r>
          </w:p>
        </w:tc>
        <w:tc>
          <w:tcPr>
            <w:tcW w:type="dxa" w:w="3826"/>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Fix</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docker ps returns 'Cannot connect to Docker daemon'</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Docker Desktop is not running</w:t>
            </w:r>
          </w:p>
        </w:tc>
        <w:tc>
          <w:tcPr>
            <w:tcW w:type="dxa" w:w="38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Open Docker Desktop application and wait for it to fully start</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npm run db:migrate fails with 'connection refused'</w:t>
            </w:r>
          </w:p>
        </w:tc>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PostgreSQL container not ready yet</w:t>
            </w:r>
          </w:p>
        </w:tc>
        <w:tc>
          <w:tcPr>
            <w:tcW w:type="dxa" w:w="38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Run: docker ps and confirm mms-postgres shows (healthy). If not healthy, wait 30 seconds and retry.</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npm run dev fails with 'Cannot find module'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Dependencies not installed</w:t>
            </w:r>
          </w:p>
        </w:tc>
        <w:tc>
          <w:tcPr>
            <w:tcW w:type="dxa" w:w="38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Run: npm install then retry</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curl /health returns {database: 'disconnected'}</w:t>
            </w:r>
          </w:p>
        </w:tc>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DATABASE_URL in .env.local is wrong</w:t>
            </w:r>
          </w:p>
        </w:tc>
        <w:tc>
          <w:tcPr>
            <w:tcW w:type="dxa" w:w="38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Verify DATABASE_URL format: postgresql://user:password@localhost:5432/mms_dev</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TypeScript errors on npm run typecheck</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Missing type definitions or wrong types</w:t>
            </w:r>
          </w:p>
        </w:tc>
        <w:tc>
          <w:tcPr>
            <w:tcW w:type="dxa" w:w="38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Run: npm install @types/[packagename] for any unrecognised packages</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ESLint errors on import statements</w:t>
            </w:r>
          </w:p>
        </w:tc>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Import path wrong or file not found</w:t>
            </w:r>
          </w:p>
        </w:tc>
        <w:tc>
          <w:tcPr>
            <w:tcW w:type="dxa" w:w="38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Check the file exists at the path you are importing from. TypeScript paths are case-sensitive.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Jest tests failing with 'Cannot connect to database'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Integration tests running against development DB</w:t>
            </w:r>
          </w:p>
        </w:tc>
        <w:tc>
          <w:tcPr>
            <w:tcW w:type="dxa" w:w="38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Integration tests use a separate test database. Ensure TEST_DATABASE_URL is set in .env.local</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Git push rejected with 'protected branch'</w:t>
            </w:r>
          </w:p>
        </w:tc>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Trying to push directly to main or develop</w:t>
            </w:r>
          </w:p>
        </w:tc>
        <w:tc>
          <w:tcPr>
            <w:tcW w:type="dxa" w:w="38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Create a feature branch: git checkout -b feature/your-feature-name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PR blocked by failing CI</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One or more CI stages failing</w:t>
            </w:r>
          </w:p>
        </w:tc>
        <w:tc>
          <w:tcPr>
            <w:tcW w:type="dxa" w:w="38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Click the failing stage in GitHub Actions to see the exact error. Fix locally before pushing again</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MTN MoMo API returns 401</w:t>
            </w:r>
          </w:p>
        </w:tc>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Sandbox credentials not in .env.local</w:t>
            </w:r>
          </w:p>
        </w:tc>
        <w:tc>
          <w:tcPr>
            <w:tcW w:type="dxa" w:w="38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Request credentials from Technical Lead. MTN sandbox requires API key + user ID + target environment header</w:t>
            </w:r>
          </w:p>
        </w:tc>
      </w:tr>
    </w:tbl>
    <w:p>
      <w:pPr>
        <w:spacing w:before="0" w:after="0"/>
      </w:pPr>
      <w:r>
        <w:br w:type="page"/>
      </w:r>
    </w:p>
    <w:p>
      <w:r>
        <w:rPr>
          <w:sz w:val="22"/>
        </w:rPr>
        <w:t xml:space="preserve"/>
      </w:r>
    </w:p>
    <w:p>
      <w:r>
        <w:rPr>
          <w:sz w:val="22"/>
        </w:rPr>
        <w:t xml:space="preserve">Expected supplier notification: SMS and email confirming full cycle complete.</w:t>
      </w:r>
    </w:p>
    <w:p>
      <w:r>
        <w:rPr>
          <w:sz w:val="22"/>
        </w:rPr>
        <w:t xml:space="preserve">Expected audit log: SETTLEMENT_COMPLETE with settled_at timestamp and net_mms_profit.</w:t>
      </w:r>
    </w:p>
    <w:p>
      <w:r>
        <w:rPr>
          <w:sz w:val="22"/>
        </w:rPr>
        <w:t xml:space="preserve">Expected settlement_ledger record: all 6 figures stored individually — never just the net.</w:t>
      </w:r>
    </w:p>
    <w:p>
      <w:r>
        <w:rPr>
          <w:sz w:val="22"/>
        </w:rPr>
        <w:t xml:space="preserve">  Profit margin: 280,959 / 50,000,000 × 100 = 0.562%</w:t>
      </w:r>
    </w:p>
    <w:p>
      <w:r>
        <w:rPr>
          <w:sz w:val="22"/>
        </w:rPr>
        <w:t xml:space="preserve">  Net MMS profit: 1,332,192 − 1,051,233 = UGX 280,959</w:t>
      </w:r>
    </w:p>
    <w:p>
      <w:r>
        <w:rPr>
          <w:sz w:val="22"/>
        </w:rPr>
        <w:t xml:space="preserve">  Bank interest cost: UGX 1,051,233</w:t>
      </w:r>
    </w:p>
    <w:p>
      <w:r>
        <w:rPr>
          <w:sz w:val="22"/>
        </w:rPr>
        <w:t xml:space="preserve">  Discount earned by MMS: UGX 1,332,192</w:t>
      </w:r>
    </w:p>
    <w:p>
      <w:r>
        <w:rPr>
          <w:sz w:val="22"/>
        </w:rPr>
        <w:t xml:space="preserve">  Advance paid to supplier: UGX 46,167,808</w:t>
      </w:r>
    </w:p>
    <w:p>
      <w:r>
        <w:rPr>
          <w:sz w:val="22"/>
        </w:rPr>
        <w:t xml:space="preserve">  Face value collected: UGX 50,000,000</w:t>
      </w:r>
    </w:p>
    <w:p>
      <w:r>
        <w:rPr>
          <w:sz w:val="22"/>
        </w:rPr>
        <w:t xml:space="preserve">When buyer pays the full UGX 50,000,000 to MMS at maturity:</w:t>
      </w:r>
    </w:p>
    <w:p>
      <w:r>
        <w:rPr>
          <w:sz w:val="22"/>
        </w:rPr>
        <w:t xml:space="preserve">Using the same invoice from Example 1 (face value UGX 50,000,000, 45-day tenor).</w:t>
      </w:r>
    </w:p>
    <w:p>
      <w:r>
        <w:rPr>
          <w:b/>
          <w:sz w:val="24"/>
          <w:color w:val="1F3864"/>
        </w:rPr>
        <w:t xml:space="preserve">Example 5 — Settlement Ledger (Workflow Stage 13)</w:t>
      </w:r>
    </w:p>
    <w:p>
      <w:r>
        <w:rPr>
          <w:sz w:val="22"/>
        </w:rPr>
        <w:t xml:space="preserve"/>
      </w:r>
    </w:p>
    <w:p>
      <w:r>
        <w:rPr>
          <w:sz w:val="22"/>
        </w:rPr>
        <w:t xml:space="preserve">Expected system response: collateral status set to VERIFIED, payment instruction created</w:t>
      </w:r>
    </w:p>
    <w:p>
      <w:r>
        <w:rPr>
          <w:sz w:val="22"/>
        </w:rPr>
        <w:t xml:space="preserve">Coverage check: 50,000,000 / 50,000,000 = 100% — PASSES</w:t>
      </w:r>
    </w:p>
    <w:p>
      <w:r>
        <w:rPr>
          <w:sz w:val="22"/>
        </w:rPr>
        <w:t xml:space="preserve">Corrected scenario: Collateral value = UGX 50,000,000</w:t>
      </w:r>
    </w:p>
    <w:p>
      <w:r>
        <w:rPr>
          <w:sz w:val="22"/>
        </w:rPr>
        <w:t xml:space="preserve"/>
      </w:r>
    </w:p>
    <w:p>
      <w:r>
        <w:rPr>
          <w:sz w:val="22"/>
        </w:rPr>
        <w:t xml:space="preserve">Audit log entry: COLLATERAL_INSUFFICIENT with invoice_id, collateral_value, required_value</w:t>
      </w:r>
    </w:p>
    <w:p>
      <w:r>
        <w:rPr>
          <w:sz w:val="22"/>
        </w:rPr>
        <w:t xml:space="preserve">Expected system response: 422 COLLATERAL_INSUFFICIENT — payment instruction NOT created</w:t>
      </w:r>
    </w:p>
    <w:p>
      <w:r>
        <w:rPr>
          <w:sz w:val="22"/>
        </w:rPr>
        <w:t xml:space="preserve">Coverage check: 45,000,000 / 50,000,000 = 90% — BELOW 100% threshold</w:t>
      </w:r>
    </w:p>
    <w:p>
      <w:r>
        <w:rPr>
          <w:sz w:val="22"/>
        </w:rPr>
        <w:t xml:space="preserve">COLLATERAL_MIN_COVERAGE_RATIO: 1.0 (100%)</w:t>
      </w:r>
    </w:p>
    <w:p>
      <w:r>
        <w:rPr>
          <w:sz w:val="22"/>
        </w:rPr>
        <w:t xml:space="preserve">Collateral value submitted: UGX 45,000,000</w:t>
      </w:r>
    </w:p>
    <w:p>
      <w:r>
        <w:rPr>
          <w:sz w:val="22"/>
        </w:rPr>
        <w:t xml:space="preserve">Collateral type submitted: Post-dated cheque</w:t>
      </w:r>
    </w:p>
    <w:p>
      <w:r>
        <w:rPr>
          <w:sz w:val="22"/>
        </w:rPr>
        <w:t xml:space="preserve">Invoice face value: UGX 50,000,000</w:t>
      </w:r>
    </w:p>
    <w:p>
      <w:r>
        <w:rPr>
          <w:sz w:val="22"/>
        </w:rPr>
        <w:t xml:space="preserve">This example verifies your collateral gate enforces coverage correctly.</w:t>
      </w:r>
    </w:p>
    <w:p>
      <w:r>
        <w:rPr>
          <w:b/>
          <w:sz w:val="24"/>
          <w:color w:val="1F3864"/>
        </w:rPr>
        <w:t xml:space="preserve">Example 4 — Collateral Coverage Check (Workflow Stage 10)</w:t>
      </w:r>
    </w:p>
    <w:p>
      <w:r>
        <w:rPr>
          <w:sz w:val="22"/>
        </w:rPr>
        <w:t xml:space="preserve"/>
      </w:r>
    </w:p>
    <w:p>
      <w:pPr>
        <w:pStyle w:val="Heading1"/>
        <w:pBdr>
          <w:bottom w:val="single" w:color="1D4ED8" w:sz="12" w:space="6"/>
        </w:pBdr>
        <w:spacing w:before="480" w:after="160"/>
      </w:pPr>
      <w:r>
        <w:rPr>
          <w:rFonts w:ascii="Arial" w:cs="Arial" w:eastAsia="Arial" w:hAnsi="Arial"/>
          <w:b/>
          <w:bCs/>
          <w:color w:val="1A3A5C"/>
          <w:sz w:val="40"/>
          <w:szCs w:val="40"/>
        </w:rPr>
        <w:t xml:space="preserve">Developer Handbook Sign-Off</w:t>
      </w:r>
    </w:p>
    <w:p>
      <w:pPr>
        <w:spacing w:before="60" w:after="100"/>
        <w:jc w:val="left"/>
      </w:pPr>
      <w:r>
        <w:rPr>
          <w:rFonts w:ascii="Arial" w:cs="Arial" w:eastAsia="Arial" w:hAnsi="Arial"/>
          <w:b w:val="false"/>
          <w:bCs w:val="false"/>
          <w:i w:val="false"/>
          <w:iCs w:val="false"/>
          <w:color w:val="374151"/>
          <w:sz w:val="22"/>
          <w:szCs w:val="22"/>
        </w:rPr>
        <w:t xml:space="preserve">Every developer on the MMS build team must sign this page before writing any code. By signing, the developer confirms they have read and understood every section of this handbook.</w:t>
      </w:r>
    </w:p>
    <w:p>
      <w:pPr>
        <w:spacing w:before="0" w:after="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1800"/>
        <w:gridCol w:w="2026"/>
      </w:tblGrid>
      <w:tr>
        <w:tc>
          <w:tcPr>
            <w:tcW w:type="dxa" w:w="26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Developer name</w:t>
            </w:r>
          </w:p>
        </w:tc>
        <w:tc>
          <w:tcPr>
            <w:tcW w:type="dxa" w:w="26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Role</w:t>
            </w:r>
          </w:p>
        </w:tc>
        <w:tc>
          <w:tcPr>
            <w:tcW w:type="dxa" w:w="18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Date read</w:t>
            </w:r>
          </w:p>
        </w:tc>
        <w:tc>
          <w:tcPr>
            <w:tcW w:type="dxa" w:w="2026"/>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Signature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Lead Backend Developer</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
            </w:r>
          </w:p>
        </w:tc>
        <w:tc>
          <w:tcPr>
            <w:tcW w:type="dxa" w:w="20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Frontend Developer / DevOps</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
            </w:r>
          </w:p>
        </w:tc>
        <w:tc>
          <w:tcPr>
            <w:tcW w:type="dxa" w:w="20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Backend Developer</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
            </w:r>
          </w:p>
        </w:tc>
        <w:tc>
          <w:tcPr>
            <w:tcW w:type="dxa" w:w="20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[Additional developer]</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
            </w:r>
          </w:p>
        </w:tc>
        <w:tc>
          <w:tcPr>
            <w:tcW w:type="dxa" w:w="20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
            </w:r>
          </w:p>
        </w:tc>
      </w:tr>
    </w:tbl>
    <w:p>
      <w:pPr>
        <w:spacing w:before="0" w:after="200"/>
      </w:pPr>
      <w:r>
        <w:t xml:space="preserve"/>
      </w:r>
    </w:p>
    <w:p>
      <w:pPr>
        <w:spacing w:before="60" w:after="100"/>
        <w:jc w:val="left"/>
      </w:pPr>
      <w:r>
        <w:rPr>
          <w:rFonts w:ascii="Arial" w:cs="Arial" w:eastAsia="Arial" w:hAnsi="Arial"/>
          <w:b w:val="false"/>
          <w:bCs w:val="false"/>
          <w:i/>
          <w:iCs/>
          <w:color w:val="374151"/>
          <w:sz w:val="22"/>
          <w:szCs w:val="22"/>
        </w:rPr>
        <w:t xml:space="preserve">Technical Lead confirmation: All team members have signed. Development may begin.</w:t>
      </w:r>
    </w:p>
    <w:p>
      <w:pPr>
        <w:spacing w:before="0"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600"/>
        <w:gridCol w:w="1626"/>
      </w:tblGrid>
      <w:tr>
        <w:tc>
          <w:tcPr>
            <w:tcW w:type="dxa" w:w="22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Role</w:t>
            </w:r>
          </w:p>
        </w:tc>
        <w:tc>
          <w:tcPr>
            <w:tcW w:type="dxa" w:w="26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Name</w:t>
            </w:r>
          </w:p>
        </w:tc>
        <w:tc>
          <w:tcPr>
            <w:tcW w:type="dxa" w:w="26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Signature</w:t>
            </w:r>
          </w:p>
        </w:tc>
        <w:tc>
          <w:tcPr>
            <w:tcW w:type="dxa" w:w="1626"/>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Date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Technical Lead / CTO</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
            </w:r>
          </w:p>
        </w:tc>
        <w:tc>
          <w:tcPr>
            <w:tcW w:type="dxa" w:w="16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Managing Director</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
            </w:r>
          </w:p>
        </w:tc>
        <w:tc>
          <w:tcPr>
            <w:tcW w:type="dxa" w:w="16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
            </w:r>
          </w:p>
        </w:tc>
      </w:tr>
    </w:tbl>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4"/>
      </w:pBdr>
      <w:spacing w:before="120" w:after="0"/>
      <w:jc w:val="center"/>
    </w:pPr>
    <w:r>
      <w:rPr>
        <w:rFonts w:ascii="Arial" w:cs="Arial" w:eastAsia="Arial" w:hAnsi="Arial"/>
        <w:color w:val="AAAAAA"/>
        <w:sz w:val="16"/>
        <w:szCs w:val="16"/>
      </w:rPr>
      <w:t xml:space="preserve">Confidential — MMS Invoice Discounting Platform | Developer Handbook | All rules are mandatory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4"/>
      </w:pBdr>
      <w:spacing w:before="0" w:after="120"/>
    </w:pPr>
    <w:r>
      <w:rPr>
        <w:rFonts w:ascii="Arial" w:cs="Arial" w:eastAsia="Arial" w:hAnsi="Arial"/>
        <w:color w:val="6B7280"/>
        <w:sz w:val="18"/>
        <w:szCs w:val="18"/>
      </w:rPr>
      <w:t xml:space="preserve">MMS Developer Handbook v1.0 — Mandatory Reading Before Writing Code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A3A5C"/>
      <w:sz w:val="40"/>
      <w:szCs w:val="40"/>
    </w:rPr>
  </w:style>
  <w:style w:type="paragraph" w:styleId="Heading2">
    <w:name w:val="Heading 2"/>
    <w:basedOn w:val="Normal"/>
    <w:next w:val="Normal"/>
    <w:qFormat/>
    <w:pPr>
      <w:spacing w:before="320" w:after="120"/>
      <w:outlineLvl w:val="1"/>
    </w:pPr>
    <w:rPr>
      <w:rFonts w:ascii="Arial" w:cs="Arial" w:eastAsia="Arial" w:hAnsi="Arial"/>
      <w:b/>
      <w:bCs/>
      <w:color w:val="1A3A5C"/>
      <w:sz w:val="28"/>
      <w:szCs w:val="28"/>
    </w:rPr>
  </w:style>
  <w:style w:type="paragraph" w:styleId="Heading3">
    <w:name w:val="Heading 3"/>
    <w:basedOn w:val="Normal"/>
    <w:next w:val="Normal"/>
    <w:qFormat/>
    <w:pPr>
      <w:spacing w:before="240" w:after="100"/>
      <w:outlineLvl w:val="2"/>
    </w:pPr>
    <w:rPr>
      <w:rFonts w:ascii="Arial" w:cs="Arial" w:eastAsia="Arial" w:hAnsi="Arial"/>
      <w:b/>
      <w:bCs/>
      <w:color w:val="1D4ED8"/>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2026-03-19T13:12:10.100Z</dcterms:created>
  <dcterms:modified xsi:type="dcterms:W3CDTF">2026-03-19T13:12:10.100Z</dcterms:modified>
</cp:coreProperties>
</file>

<file path=docProps/custom.xml><?xml version="1.0" encoding="utf-8"?>
<Properties xmlns="http://schemas.openxmlformats.org/officeDocument/2006/custom-properties" xmlns:vt="http://schemas.openxmlformats.org/officeDocument/2006/docPropsVTypes"/>
</file>