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0"/>
      </w:pPr>
      <w:r>
        <w:t xml:space="preserve"/>
      </w:r>
    </w:p>
    <w:p>
      <w:pPr>
        <w:spacing w:before="0" w:after="80"/>
        <w:jc w:val="center"/>
      </w:pPr>
      <w:r>
        <w:rPr>
          <w:rFonts w:ascii="Arial" w:cs="Arial" w:eastAsia="Arial" w:hAnsi="Arial"/>
          <w:b/>
          <w:bCs/>
          <w:color w:val="1A3A5C"/>
          <w:sz w:val="96"/>
          <w:szCs w:val="96"/>
        </w:rPr>
        <w:t xml:space="preserve">MMS</w:t>
      </w:r>
    </w:p>
    <w:p>
      <w:pPr>
        <w:spacing w:before="0" w:after="120"/>
        <w:jc w:val="center"/>
      </w:pPr>
      <w:r>
        <w:rPr>
          <w:rFonts w:ascii="Arial" w:cs="Arial" w:eastAsia="Arial" w:hAnsi="Arial"/>
          <w:b/>
          <w:bCs/>
          <w:color w:val="1D4ED8"/>
          <w:sz w:val="52"/>
          <w:szCs w:val="52"/>
        </w:rPr>
        <w:t xml:space="preserve">Project Management Pack</w:t>
      </w:r>
    </w:p>
    <w:p>
      <w:pPr>
        <w:spacing w:before="0" w:after="300"/>
        <w:jc w:val="center"/>
      </w:pPr>
      <w:r>
        <w:rPr>
          <w:rFonts w:ascii="Arial" w:cs="Arial" w:eastAsia="Arial" w:hAnsi="Arial"/>
          <w:color w:val="6B7280"/>
          <w:sz w:val="22"/>
          <w:szCs w:val="22"/>
        </w:rPr>
        <w:t xml:space="preserve">Risk register · RACI matrix · Sprint plan · Change control · Stakeholder communications</w:t>
      </w:r>
    </w:p>
    <w:p>
      <w:pPr>
        <w:pBdr>
          <w:bottom w:val="single" w:color="1D4ED8" w:sz="8" w:space="1"/>
        </w:pBdr>
        <w:spacing w:before="0" w:after="300"/>
      </w:pP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Field</w:t>
            </w:r>
          </w:p>
        </w:tc>
        <w:tc>
          <w:tcPr>
            <w:tcW w:type="dxa" w:w="60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Document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MMS Project Management Pack v1.1</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Companion to</w:t>
            </w:r>
          </w:p>
        </w:tc>
        <w:tc>
          <w:tcPr>
            <w:tcW w:type="dxa" w:w="6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MMS Specialist Build Guide v2.1 + Developer Handbook v1.1</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Owner</w:t>
            </w:r>
          </w:p>
        </w:tc>
        <w:tc>
          <w:tcPr>
            <w:tcW w:type="dxa" w:w="6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Project Manager / MD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Review cycle</w:t>
            </w:r>
          </w:p>
        </w:tc>
        <w:tc>
          <w:tcPr>
            <w:tcW w:type="dxa" w:w="6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Weekly — every Monday morning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19 March 2026 | Updated: 29 March 2026</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Status</w:t>
            </w:r>
          </w:p>
        </w:tc>
        <w:tc>
          <w:tcPr>
            <w:tcW w:type="dxa" w:w="60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ACTIVE — Update throughout the project</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1. Project Risk Register</w:t>
      </w:r>
    </w:p>
    <w:p>
      <w:pPr>
        <w:spacing w:before="60" w:after="100"/>
        <w:jc w:val="left"/>
      </w:pPr>
      <w:r>
        <w:rPr>
          <w:rFonts w:ascii="Arial" w:cs="Arial" w:eastAsia="Arial" w:hAnsi="Arial"/>
          <w:b w:val="false"/>
          <w:bCs w:val="false"/>
          <w:i w:val="false"/>
          <w:iCs w:val="false"/>
          <w:color w:val="374151"/>
          <w:sz w:val="22"/>
          <w:szCs w:val="22"/>
        </w:rPr>
        <w:t xml:space="preserve">This register covers project-level risks — not technical security risks (those are in the threat model in the Build Guide). Every risk is reviewed at the weekly Monday team meeting. When a risk status changes, update this document and notify all stakeholders.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6"/>
              <w:left w:val="single" w:color="1D4ED8" w:sz="16"/>
              <w:bottom w:val="single" w:color="1D4ED8" w:sz="2"/>
              <w:right w:val="single" w:color="1D4ED8" w:sz="2"/>
            </w:tcBorders>
            <w:shd w:fill="EFF6FF" w:val="clear"/>
            <w:tcMar>
              <w:top w:type="dxa" w:w="120"/>
              <w:left w:type="dxa" w:w="200"/>
              <w:bottom w:type="dxa" w:w="120"/>
              <w:right w:type="dxa" w:w="160"/>
            </w:tcMar>
          </w:tcPr>
          <w:p>
            <w:pPr>
              <w:spacing w:before="0" w:after="0"/>
            </w:pPr>
            <w:r>
              <w:rPr>
                <w:rFonts w:ascii="Arial" w:cs="Arial" w:eastAsia="Arial" w:hAnsi="Arial"/>
                <w:color w:val="1D4ED8"/>
                <w:sz w:val="21"/>
                <w:szCs w:val="21"/>
              </w:rPr>
              <w:t xml:space="preserve">How to read the risk matrix: Likelihood × Impact = Score. High × High = 9 (red — immediate action). Low × Low = 1 (green — monitor only). Scores 6+ require a named owner and active mitigation plan.</w:t>
            </w:r>
          </w:p>
        </w:tc>
      </w:tr>
    </w:tbl>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Risk Matrix — Rating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
            </w:r>
          </w:p>
        </w:tc>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Impact: LOW (1)</w:t>
            </w:r>
          </w:p>
        </w:tc>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Impact: MEDIUM (2)</w:t>
            </w:r>
          </w:p>
        </w:tc>
        <w:tc>
          <w:tcPr>
            <w:tcW w:type="dxa" w:w="2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Impact: HIGH (3)</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Likelihood: HIGH (3)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3 — AMBER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6 — RED</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9 — CRITICAL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Likelihood: MEDIUM (2)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2 — GREEN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4 — AMBER</w:t>
            </w:r>
          </w:p>
        </w:tc>
        <w:tc>
          <w:tcPr>
            <w:tcW w:type="dxa" w:w="2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6 — 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Likelihood: LOW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1 — GREEN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2 — GREEN</w:t>
            </w:r>
          </w:p>
        </w:tc>
        <w:tc>
          <w:tcPr>
            <w:tcW w:type="dxa" w:w="2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Score 3 — AMBER</w:t>
            </w:r>
          </w:p>
        </w:tc>
      </w:tr>
    </w:tbl>
    <w:p>
      <w:pPr>
        <w:spacing w:before="0" w:after="16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Risk Register — All Identified Project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
        <w:gridCol w:w="600"/>
        <w:gridCol w:w="700"/>
        <w:gridCol w:w="1200"/>
        <w:gridCol w:w="2226"/>
        <w:gridCol w:w="700"/>
      </w:tblGrid>
      <w:tr>
        <w:tc>
          <w:tcPr>
            <w:tcW w:type="dxa" w:w="6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60"/>
            </w:tcMar>
          </w:tcPr>
          <w:p>
            <w:pPr>
              <w:spacing w:before="0" w:after="0"/>
            </w:pPr>
            <w:r>
              <w:rPr>
                <w:rFonts w:ascii="Arial" w:cs="Arial" w:eastAsia="Arial" w:hAnsi="Arial"/>
                <w:b/>
                <w:bCs/>
                <w:color w:val="FFFFFF"/>
                <w:sz w:val="18"/>
                <w:szCs w:val="18"/>
              </w:rPr>
              <w:t xml:space="preserve">ID</w:t>
            </w:r>
          </w:p>
        </w:tc>
        <w:tc>
          <w:tcPr>
            <w:tcW w:type="dxa" w:w="24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60"/>
            </w:tcMar>
          </w:tcPr>
          <w:p>
            <w:pPr>
              <w:spacing w:before="0" w:after="0"/>
            </w:pPr>
            <w:r>
              <w:rPr>
                <w:rFonts w:ascii="Arial" w:cs="Arial" w:eastAsia="Arial" w:hAnsi="Arial"/>
                <w:b/>
                <w:bCs/>
                <w:color w:val="FFFFFF"/>
                <w:sz w:val="18"/>
                <w:szCs w:val="18"/>
              </w:rPr>
              <w:t xml:space="preserve">Risk description</w:t>
            </w:r>
          </w:p>
        </w:tc>
        <w:tc>
          <w:tcPr>
            <w:tcW w:type="dxa" w:w="6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60"/>
            </w:tcMar>
          </w:tcPr>
          <w:p>
            <w:pPr>
              <w:spacing w:before="0" w:after="0"/>
            </w:pPr>
            <w:r>
              <w:rPr>
                <w:rFonts w:ascii="Arial" w:cs="Arial" w:eastAsia="Arial" w:hAnsi="Arial"/>
                <w:b/>
                <w:bCs/>
                <w:color w:val="FFFFFF"/>
                <w:sz w:val="18"/>
                <w:szCs w:val="18"/>
              </w:rPr>
              <w:t xml:space="preserve">Like.</w:t>
            </w:r>
          </w:p>
        </w:tc>
        <w:tc>
          <w:tcPr>
            <w:tcW w:type="dxa" w:w="6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60"/>
            </w:tcMar>
          </w:tcPr>
          <w:p>
            <w:pPr>
              <w:spacing w:before="0" w:after="0"/>
            </w:pPr>
            <w:r>
              <w:rPr>
                <w:rFonts w:ascii="Arial" w:cs="Arial" w:eastAsia="Arial" w:hAnsi="Arial"/>
                <w:b/>
                <w:bCs/>
                <w:color w:val="FFFFFF"/>
                <w:sz w:val="18"/>
                <w:szCs w:val="18"/>
              </w:rPr>
              <w:t xml:space="preserve">Imp.</w:t>
            </w:r>
          </w:p>
        </w:tc>
        <w:tc>
          <w:tcPr>
            <w:tcW w:type="dxa" w:w="7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60"/>
            </w:tcMar>
          </w:tcPr>
          <w:p>
            <w:pPr>
              <w:spacing w:before="0" w:after="0"/>
            </w:pPr>
            <w:r>
              <w:rPr>
                <w:rFonts w:ascii="Arial" w:cs="Arial" w:eastAsia="Arial" w:hAnsi="Arial"/>
                <w:b/>
                <w:bCs/>
                <w:color w:val="FFFFFF"/>
                <w:sz w:val="18"/>
                <w:szCs w:val="18"/>
              </w:rPr>
              <w:t xml:space="preserve">Score</w:t>
            </w:r>
          </w:p>
        </w:tc>
        <w:tc>
          <w:tcPr>
            <w:tcW w:type="dxa" w:w="12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60"/>
            </w:tcMar>
          </w:tcPr>
          <w:p>
            <w:pPr>
              <w:spacing w:before="0" w:after="0"/>
            </w:pPr>
            <w:r>
              <w:rPr>
                <w:rFonts w:ascii="Arial" w:cs="Arial" w:eastAsia="Arial" w:hAnsi="Arial"/>
                <w:b/>
                <w:bCs/>
                <w:color w:val="FFFFFF"/>
                <w:sz w:val="18"/>
                <w:szCs w:val="18"/>
              </w:rPr>
              <w:t xml:space="preserve">Owner</w:t>
            </w:r>
          </w:p>
        </w:tc>
        <w:tc>
          <w:tcPr>
            <w:tcW w:type="dxa" w:w="2226"/>
            <w:tcBorders>
              <w:top w:val="single" w:color="1A3A5C" w:sz="2"/>
              <w:left w:val="single" w:color="1A3A5C" w:sz="2"/>
              <w:bottom w:val="single" w:color="1A3A5C" w:sz="2"/>
              <w:right w:val="single" w:color="1A3A5C" w:sz="2"/>
            </w:tcBorders>
            <w:shd w:fill="1A3A5C" w:val="clear"/>
            <w:tcMar>
              <w:top w:type="dxa" w:w="80"/>
              <w:left w:type="dxa" w:w="100"/>
              <w:bottom w:type="dxa" w:w="80"/>
              <w:right w:type="dxa" w:w="60"/>
            </w:tcMar>
          </w:tcPr>
          <w:p>
            <w:pPr>
              <w:spacing w:before="0" w:after="0"/>
            </w:pPr>
            <w:r>
              <w:rPr>
                <w:rFonts w:ascii="Arial" w:cs="Arial" w:eastAsia="Arial" w:hAnsi="Arial"/>
                <w:b/>
                <w:bCs/>
                <w:color w:val="FFFFFF"/>
                <w:sz w:val="18"/>
                <w:szCs w:val="18"/>
              </w:rPr>
              <w:t xml:space="preserve">Mitigation</w:t>
            </w:r>
          </w:p>
        </w:tc>
        <w:tc>
          <w:tcPr>
            <w:tcW w:type="dxa" w:w="700"/>
            <w:tcBorders>
              <w:top w:val="single" w:color="1A3A5C" w:sz="2"/>
              <w:left w:val="single" w:color="1A3A5C" w:sz="2"/>
              <w:bottom w:val="single" w:color="1A3A5C" w:sz="2"/>
              <w:right w:val="single" w:color="1A3A5C" w:sz="2"/>
            </w:tcBorders>
            <w:shd w:fill="1A3A5C" w:val="clear"/>
            <w:tcMar>
              <w:top w:type="dxa" w:w="80"/>
              <w:left w:type="dxa" w:w="100"/>
              <w:bottom w:type="dxa" w:w="80"/>
              <w:right w:type="dxa" w:w="60"/>
            </w:tcMar>
          </w:tcPr>
          <w:p>
            <w:pPr>
              <w:spacing w:before="0" w:after="0"/>
            </w:pPr>
            <w:r>
              <w:rPr>
                <w:rFonts w:ascii="Arial" w:cs="Arial" w:eastAsia="Arial" w:hAnsi="Arial"/>
                <w:b/>
                <w:bCs/>
                <w:color w:val="FFFFFF"/>
                <w:sz w:val="18"/>
                <w:szCs w:val="18"/>
              </w:rPr>
              <w:t xml:space="preserve">Status</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R-01</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MTN MoMo API approval delayed beyond 6 weeks</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700"/>
            <w:tcBorders>
              <w:top w:val="single" w:color="D1D5DB" w:sz="1"/>
              <w:left w:val="single" w:color="D1D5DB" w:sz="1"/>
              <w:bottom w:val="single" w:color="D1D5DB" w:sz="1"/>
              <w:right w:val="single" w:color="D1D5DB" w:sz="1"/>
            </w:tcBorders>
            <w:shd w:fill="8B1A1A"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9</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Technical Lead</w:t>
            </w:r>
          </w:p>
        </w:tc>
        <w:tc>
          <w:tcPr>
            <w:tcW w:type="dxa" w:w="22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Apply immediately to MTN Business portal. Build MockPaymentProvider first so development continues. Evaluate Airtel-first launch.</w:t>
            </w:r>
          </w:p>
        </w:tc>
        <w:tc>
          <w:tcPr>
            <w:tcW w:type="dxa" w:w="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CRITICAL — apply NOW</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R-02</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Bank of Uganda requires a licence before MMS can operate</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700"/>
            <w:tcBorders>
              <w:top w:val="single" w:color="D1D5DB" w:sz="1"/>
              <w:left w:val="single" w:color="D1D5DB" w:sz="1"/>
              <w:bottom w:val="single" w:color="D1D5DB" w:sz="1"/>
              <w:right w:val="single" w:color="D1D5DB" w:sz="1"/>
            </w:tcBorders>
            <w:shd w:fill="C05C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6</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MD + Lawyer</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Engage Ugandan financial lawyer in Week 1. Obtain legal opinion on licensing position before any marketing of MMS.</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RED — Week 1 action</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R-03</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Bank credit facility not confirmed before coding begins</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700"/>
            <w:tcBorders>
              <w:top w:val="single" w:color="D1D5DB" w:sz="1"/>
              <w:left w:val="single" w:color="D1D5DB" w:sz="1"/>
              <w:bottom w:val="single" w:color="D1D5DB" w:sz="1"/>
              <w:right w:val="single" w:color="D1D5DB" w:sz="1"/>
            </w:tcBorders>
            <w:shd w:fill="C05C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MD</w:t>
            </w:r>
          </w:p>
        </w:tc>
        <w:tc>
          <w:tcPr>
            <w:tcW w:type="dxa" w:w="22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Present Build Guide architecture document to trade finance team at 3 target banks simultaneously. Do not wait for one to respond.</w:t>
            </w:r>
          </w:p>
        </w:tc>
        <w:tc>
          <w:tcPr>
            <w:tcW w:type="dxa" w:w="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RED — present to banks now</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R-04</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Lead developer leaves the project mid-build</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700"/>
            <w:tcBorders>
              <w:top w:val="single" w:color="D1D5DB" w:sz="1"/>
              <w:left w:val="single" w:color="D1D5DB" w:sz="1"/>
              <w:bottom w:val="single" w:color="D1D5DB" w:sz="1"/>
              <w:right w:val="single" w:color="D1D5DB" w:sz="1"/>
            </w:tcBorders>
            <w:shd w:fill="C05C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6</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Technical Lead</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Enforce code documentation standards. No developer is sole owner of any module. Cross-training between backend developers. CLAUDE.md ensures Claude Code context is preserved.</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AMBER — ongoing</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R-05</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Uganda PDPA 2019 compliance gap discovered during audit</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700"/>
            <w:tcBorders>
              <w:top w:val="single" w:color="D1D5DB" w:sz="1"/>
              <w:left w:val="single" w:color="D1D5DB" w:sz="1"/>
              <w:bottom w:val="single" w:color="D1D5DB" w:sz="1"/>
              <w:right w:val="single" w:color="D1D5DB" w:sz="1"/>
            </w:tcBorders>
            <w:shd w:fill="7B5E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Compliance Officer</w:t>
            </w:r>
          </w:p>
        </w:tc>
        <w:tc>
          <w:tcPr>
            <w:tcW w:type="dxa" w:w="22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Compliance Officer reviews every onboarding screen and data collection point in Month 1 of development.</w:t>
            </w:r>
          </w:p>
        </w:tc>
        <w:tc>
          <w:tcPr>
            <w:tcW w:type="dxa" w:w="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AMBER — Month 1</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R-06</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Supplier submits fraudulent invoice that passes all checks</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700"/>
            <w:tcBorders>
              <w:top w:val="single" w:color="D1D5DB" w:sz="1"/>
              <w:left w:val="single" w:color="D1D5DB" w:sz="1"/>
              <w:bottom w:val="single" w:color="D1D5DB" w:sz="1"/>
              <w:right w:val="single" w:color="D1D5DB" w:sz="1"/>
            </w:tcBorders>
            <w:shd w:fill="C05C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6</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Compliance Officer</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Buyer confirmation is the primary defence — no payment without it. Credit insurance discussion with bank in parallel.</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RED — design control</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R-07</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Key buyer defaults on payment to MMS</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700"/>
            <w:tcBorders>
              <w:top w:val="single" w:color="D1D5DB" w:sz="1"/>
              <w:left w:val="single" w:color="D1D5DB" w:sz="1"/>
              <w:bottom w:val="single" w:color="D1D5DB" w:sz="1"/>
              <w:right w:val="single" w:color="D1D5DB" w:sz="1"/>
            </w:tcBorders>
            <w:shd w:fill="C05C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Credit Risk Manager</w:t>
            </w:r>
          </w:p>
        </w:tc>
        <w:tc>
          <w:tcPr>
            <w:tcW w:type="dxa" w:w="22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Conservative buyer approval criteria. Credit limits enforced at database level. Concentration limits (no buyer &gt; 30% of portfolio).</w:t>
            </w:r>
          </w:p>
        </w:tc>
        <w:tc>
          <w:tcPr>
            <w:tcW w:type="dxa" w:w="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RED — policy required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R-08</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Pilot supplier data breach during Gate 1</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1</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700"/>
            <w:tcBorders>
              <w:top w:val="single" w:color="D1D5DB" w:sz="1"/>
              <w:left w:val="single" w:color="D1D5DB" w:sz="1"/>
              <w:bottom w:val="single" w:color="D1D5DB" w:sz="1"/>
              <w:right w:val="single" w:color="D1D5DB" w:sz="1"/>
            </w:tcBorders>
            <w:shd w:fill="1A5C2A"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3</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Technical Lead</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Penetration test before Gate 1. Encrypt all documents. AES-256 at rest, TLS 1.3 in transit. Cyber insurance before Gate 1.</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AMBER — before Gate 1</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R-09</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Scope creep — new features requested during build</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700"/>
            <w:tcBorders>
              <w:top w:val="single" w:color="D1D5DB" w:sz="1"/>
              <w:left w:val="single" w:color="D1D5DB" w:sz="1"/>
              <w:bottom w:val="single" w:color="D1D5DB" w:sz="1"/>
              <w:right w:val="single" w:color="D1D5DB" w:sz="1"/>
            </w:tcBorders>
            <w:shd w:fill="C05C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MD + Technical Lead</w:t>
            </w:r>
          </w:p>
        </w:tc>
        <w:tc>
          <w:tcPr>
            <w:tcW w:type="dxa" w:w="22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Change control process (Section 4 of this document) must be followed. No feature added without written approval.</w:t>
            </w:r>
          </w:p>
        </w:tc>
        <w:tc>
          <w:tcPr>
            <w:tcW w:type="dxa" w:w="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RED — enforce from day 1</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R-10</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t>72-hour payment SLA missed — SLA starts at approval_timestamp, not payment creation. If Finance Manager not alerted at 48h or MD not escalated at 60h, breach risk is high.</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700"/>
            <w:tcBorders>
              <w:top w:val="single" w:color="D1D5DB" w:sz="1"/>
              <w:left w:val="single" w:color="D1D5DB" w:sz="1"/>
              <w:bottom w:val="single" w:color="D1D5DB" w:sz="1"/>
              <w:right w:val="single" w:color="D1D5DB" w:sz="1"/>
            </w:tcBorders>
            <w:shd w:fill="7B5E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4</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Operations</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t>SLA timer starts at approval_timestamp. Bull job checks every 30 min: alert Finance Manager at 48h, escalate MD at 60h, hard alert at 66h. Escalation path: Finance Manager → MD → Board.</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AMBER — before Gate 1</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R-11</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Airtel Money API integration fails in Uganda production</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700"/>
            <w:tcBorders>
              <w:top w:val="single" w:color="D1D5DB" w:sz="1"/>
              <w:left w:val="single" w:color="D1D5DB" w:sz="1"/>
              <w:bottom w:val="single" w:color="D1D5DB" w:sz="1"/>
              <w:right w:val="single" w:color="D1D5DB" w:sz="1"/>
            </w:tcBorders>
            <w:shd w:fill="7B5E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Technical Lead</w:t>
            </w:r>
          </w:p>
        </w:tc>
        <w:tc>
          <w:tcPr>
            <w:tcW w:type="dxa" w:w="22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Test in Airtel Uganda sandbox before Gate 1. Have EFT/bank transfer as fallback for corporate suppliers.</w:t>
            </w:r>
          </w:p>
        </w:tc>
        <w:tc>
          <w:tcPr>
            <w:tcW w:type="dxa" w:w="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AMBER — test early</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R-12</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Ugandan lawyer identifies structural business model issue</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1</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700"/>
            <w:tcBorders>
              <w:top w:val="single" w:color="D1D5DB" w:sz="1"/>
              <w:left w:val="single" w:color="D1D5DB" w:sz="1"/>
              <w:bottom w:val="single" w:color="D1D5DB" w:sz="1"/>
              <w:right w:val="single" w:color="D1D5DB" w:sz="1"/>
            </w:tcBorders>
            <w:shd w:fill="1A5C2A"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3</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MD</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Engage lawyer Week 1. Better to discover an issue early and redesign than after 12 weeks of development.</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AMBER — Week 1</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R-13</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Key team member goes on extended leave during critical phase</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2</w:t>
            </w:r>
          </w:p>
        </w:tc>
        <w:tc>
          <w:tcPr>
            <w:tcW w:type="dxa" w:w="700"/>
            <w:tcBorders>
              <w:top w:val="single" w:color="D1D5DB" w:sz="1"/>
              <w:left w:val="single" w:color="D1D5DB" w:sz="1"/>
              <w:bottom w:val="single" w:color="D1D5DB" w:sz="1"/>
              <w:right w:val="single" w:color="D1D5DB" w:sz="1"/>
            </w:tcBorders>
            <w:shd w:fill="7B5E00"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MD</w:t>
            </w:r>
          </w:p>
        </w:tc>
        <w:tc>
          <w:tcPr>
            <w:tcW w:type="dxa" w:w="2226"/>
            <w:tcBorders>
              <w:top w:val="single" w:color="D1D5DB" w:sz="1"/>
              <w:left w:val="single" w:color="D1D5DB" w:sz="1"/>
              <w:bottom w:val="single" w:color="D1D5DB" w:sz="1"/>
              <w:right w:val="single" w:color="D1D5DB" w:sz="1"/>
            </w:tcBorders>
            <w:shd w:fill="FFFFFF"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Document leave plans at project start. Adjust sprint plan. Technical Lead maintains cross-module knowledge.</w:t>
            </w:r>
          </w:p>
        </w:tc>
        <w:tc>
          <w:tcPr>
            <w:tcW w:type="dxa" w:w="7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AMBER — plan ahead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t xml:space="preserve">R-14</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t xml:space="preserve">PostgreSQL database corruption or data loss</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1</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t xml:space="preserve">3</w:t>
            </w:r>
          </w:p>
        </w:tc>
        <w:tc>
          <w:tcPr>
            <w:tcW w:type="dxa" w:w="700"/>
            <w:tcBorders>
              <w:top w:val="single" w:color="D1D5DB" w:sz="1"/>
              <w:left w:val="single" w:color="D1D5DB" w:sz="1"/>
              <w:bottom w:val="single" w:color="D1D5DB" w:sz="1"/>
              <w:right w:val="single" w:color="D1D5DB" w:sz="1"/>
            </w:tcBorders>
            <w:shd w:fill="1A5C2A"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t xml:space="preserve">3</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t xml:space="preserve">Technical Lead</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t xml:space="preserve">WAL archiving every 15 min, daily full backup, monthly restore test. Standby server with streaming replication.</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t xml:space="preserve">AMBER — configure Week 6</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r>
            <w:r>
              <w:t>R-15</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r>
            <w:r>
              <w:t>Eligibility gate bypassed — ineligible entity registers via direct API call without completing eligibility check</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r>
            <w:r>
              <w:t>2</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r>
            <w:r>
              <w:t>2</w:t>
            </w:r>
          </w:p>
        </w:tc>
        <w:tc>
          <w:tcPr>
            <w:tcW w:type="dxa" w:w="700"/>
            <w:tcBorders>
              <w:top w:val="single" w:color="D1D5DB" w:sz="1"/>
              <w:left w:val="single" w:color="D1D5DB" w:sz="1"/>
              <w:bottom w:val="single" w:color="D1D5DB" w:sz="1"/>
              <w:right w:val="single" w:color="D1D5DB" w:sz="1"/>
            </w:tcBorders>
            <w:shd w:fill="1A5C2A"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r>
            <w:r>
              <w:t>4</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r>
            <w:r>
              <w:t>Technical Lead</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r>
            <w:r>
              <w:t>POST /suppliers/register validates eligibility session_token at API and DB level. Rate limit on /eligibility/check. Integration test verifies bypass attempt returns 403. This is a workflow Stage 1 control — must be verified in Module 0 security review.</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r>
            <w:r>
              <w:t>AMBER — verify in Module 0 DoD</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r>
            <w:r/>
            <w:r>
              <w:t>R-16</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r>
            <w:r/>
            <w:r>
              <w:t>Payment disbursed without collateral being recorded and verified — Stage 10 workflow gate not enforced</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r>
            <w:r/>
            <w:r>
              <w:t>2</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r>
            <w:r/>
            <w:r>
              <w:t>3</w:t>
            </w:r>
          </w:p>
        </w:tc>
        <w:tc>
          <w:tcPr>
            <w:tcW w:type="dxa" w:w="700"/>
            <w:tcBorders>
              <w:top w:val="single" w:color="D1D5DB" w:sz="1"/>
              <w:left w:val="single" w:color="D1D5DB" w:sz="1"/>
              <w:bottom w:val="single" w:color="D1D5DB" w:sz="1"/>
              <w:right w:val="single" w:color="D1D5DB" w:sz="1"/>
            </w:tcBorders>
            <w:shd w:fill="1A5C2A"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r>
            <w:r/>
            <w:r>
              <w:t>6</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r>
            <w:r/>
            <w:r>
              <w:t>Technical Lead + Compliance Officer</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r>
            <w:r/>
            <w:r>
              <w:t>Database trigger enforces: payment status cannot advance to pending_first_auth without valid collateral record. Integration test verifies payment blocked when collateral missing. Compliance Officer verifies collateral record exists before every Gate 1 payment.</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r>
            <w:r/>
            <w:r>
              <w:t>RED — enforce before Gate 1</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b/>
                <w:bCs/>
                <w:color w:val="1A3A5C"/>
                <w:sz w:val="18"/>
                <w:szCs w:val="18"/>
              </w:rPr>
            </w:r>
            <w:r/>
            <w:r/>
            <w:r>
              <w:t>R-17</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8"/>
                <w:szCs w:val="18"/>
              </w:rPr>
            </w:r>
            <w:r/>
            <w:r/>
            <w:r>
              <w:t>Invoice marked COLLECTED but settlement ledger not created — P&amp;L data lost, regulatory reporting incomplete</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r>
            <w:r/>
            <w:r/>
            <w:r>
              <w:t>2</w:t>
            </w:r>
          </w:p>
        </w:tc>
        <w:tc>
          <w:tcPr>
            <w:tcW w:type="dxa" w:w="6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jc w:val="center"/>
            </w:pPr>
            <w:r>
              <w:rPr>
                <w:rFonts w:ascii="Arial" w:cs="Arial" w:eastAsia="Arial" w:hAnsi="Arial"/>
                <w:color w:val="374151"/>
                <w:sz w:val="18"/>
                <w:szCs w:val="18"/>
              </w:rPr>
            </w:r>
            <w:r/>
            <w:r/>
            <w:r>
              <w:t>2</w:t>
            </w:r>
          </w:p>
        </w:tc>
        <w:tc>
          <w:tcPr>
            <w:tcW w:type="dxa" w:w="700"/>
            <w:tcBorders>
              <w:top w:val="single" w:color="D1D5DB" w:sz="1"/>
              <w:left w:val="single" w:color="D1D5DB" w:sz="1"/>
              <w:bottom w:val="single" w:color="D1D5DB" w:sz="1"/>
              <w:right w:val="single" w:color="D1D5DB" w:sz="1"/>
            </w:tcBorders>
            <w:shd w:fill="1A5C2A" w:val="clear"/>
            <w:tcMar>
              <w:top w:type="dxa" w:w="60"/>
              <w:left w:type="dxa" w:w="80"/>
              <w:bottom w:type="dxa" w:w="60"/>
              <w:right w:type="dxa" w:w="60"/>
            </w:tcMar>
          </w:tcPr>
          <w:p>
            <w:pPr>
              <w:spacing w:before="0" w:after="0"/>
              <w:jc w:val="center"/>
            </w:pPr>
            <w:r>
              <w:rPr>
                <w:rFonts w:ascii="Arial" w:cs="Arial" w:eastAsia="Arial" w:hAnsi="Arial"/>
                <w:b/>
                <w:bCs/>
                <w:color w:val="FFFFFF"/>
                <w:sz w:val="18"/>
                <w:szCs w:val="18"/>
              </w:rPr>
            </w:r>
            <w:r/>
            <w:r/>
            <w:r>
              <w:t>4</w:t>
            </w:r>
          </w:p>
        </w:tc>
        <w:tc>
          <w:tcPr>
            <w:tcW w:type="dxa" w:w="12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374151"/>
                <w:sz w:val="17"/>
                <w:szCs w:val="17"/>
              </w:rPr>
            </w:r>
            <w:r/>
            <w:r/>
            <w:r>
              <w:t>Technical Lead</w:t>
            </w:r>
          </w:p>
        </w:tc>
        <w:tc>
          <w:tcPr>
            <w:tcW w:type="dxa" w:w="2226"/>
            <w:tcBorders>
              <w:top w:val="single" w:color="D1D5DB" w:sz="1"/>
              <w:left w:val="single" w:color="D1D5DB" w:sz="1"/>
              <w:bottom w:val="single" w:color="D1D5DB" w:sz="1"/>
              <w:right w:val="single" w:color="D1D5DB" w:sz="1"/>
            </w:tcBorders>
            <w:shd w:fill="F9FAFB" w:val="clear"/>
            <w:tcMar>
              <w:top w:type="dxa" w:w="60"/>
              <w:left w:type="dxa" w:w="100"/>
              <w:bottom w:type="dxa" w:w="60"/>
              <w:right w:type="dxa" w:w="80"/>
            </w:tcMar>
          </w:tcPr>
          <w:p>
            <w:pPr>
              <w:spacing w:before="0" w:after="0"/>
            </w:pPr>
            <w:r>
              <w:rPr>
                <w:rFonts w:ascii="Arial" w:cs="Arial" w:eastAsia="Arial" w:hAnsi="Arial"/>
                <w:color w:val="374151"/>
                <w:sz w:val="17"/>
                <w:szCs w:val="17"/>
              </w:rPr>
            </w:r>
            <w:r/>
            <w:r/>
            <w:r>
              <w:t>Settlement job fires automatically on COLLECTED status transition via Bull queue. Integration test verifies settlement_ledger record exists after collection. Daily reconciliation report flags any COLLECTED invoice without a settlement record.</w:t>
            </w:r>
          </w:p>
        </w:tc>
        <w:tc>
          <w:tcPr>
            <w:tcW w:type="dxa" w:w="700"/>
            <w:tcBorders>
              <w:top w:val="single" w:color="D1D5DB" w:sz="1"/>
              <w:left w:val="single" w:color="D1D5DB" w:sz="1"/>
              <w:bottom w:val="single" w:color="D1D5DB" w:sz="1"/>
              <w:right w:val="single" w:color="D1D5DB" w:sz="1"/>
            </w:tcBorders>
            <w:shd w:fill="F9FAFB" w:val="clear"/>
            <w:tcMar>
              <w:top w:type="dxa" w:w="60"/>
              <w:left w:type="dxa" w:w="80"/>
              <w:bottom w:type="dxa" w:w="60"/>
              <w:right w:type="dxa" w:w="60"/>
            </w:tcMar>
          </w:tcPr>
          <w:p>
            <w:pPr>
              <w:spacing w:before="0" w:after="0"/>
            </w:pPr>
            <w:r>
              <w:rPr>
                <w:rFonts w:ascii="Arial" w:cs="Arial" w:eastAsia="Arial" w:hAnsi="Arial"/>
                <w:color w:val="6B7280"/>
                <w:sz w:val="16"/>
                <w:szCs w:val="16"/>
              </w:rPr>
            </w:r>
            <w:r/>
            <w:r/>
            <w:r>
              <w:t>AMBER — verify in Module 11b DoD</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2. RACI Matrix — Who Decides What</w:t>
      </w:r>
    </w:p>
    <w:p>
      <w:pPr>
        <w:spacing w:before="60" w:after="100"/>
        <w:jc w:val="left"/>
      </w:pPr>
      <w:r>
        <w:rPr>
          <w:rFonts w:ascii="Arial" w:cs="Arial" w:eastAsia="Arial" w:hAnsi="Arial"/>
          <w:b w:val="false"/>
          <w:bCs w:val="false"/>
          <w:i w:val="false"/>
          <w:iCs w:val="false"/>
          <w:color w:val="374151"/>
          <w:sz w:val="22"/>
          <w:szCs w:val="22"/>
        </w:rPr>
        <w:t xml:space="preserve">RACI defines who is Responsible (does the work), Accountable (owns the outcome — only one person), Consulted (must be asked before the decision is made), and Informed (notified after the decision). Without this, decisions stall because nobody knows who has authority.</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c>
          <w:tcPr>
            <w:tcW w:type="dxa" w:w="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Letter</w:t>
            </w:r>
          </w:p>
        </w:tc>
        <w:tc>
          <w:tcPr>
            <w:tcW w:type="dxa" w:w="3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Meaning</w:t>
            </w:r>
          </w:p>
        </w:tc>
        <w:tc>
          <w:tcPr>
            <w:tcW w:type="dxa" w:w="5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Rule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 — Responsible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Does the actual work</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There can be more than one R on a task</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 — Accountable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Owns the outcome and signs it off</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There must be exactly ONE A per decision — never zero, never two</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 — Consulted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Must be asked before the decision is finalised</w:t>
            </w:r>
          </w:p>
        </w:tc>
        <w:tc>
          <w:tcPr>
            <w:tcW w:type="dxa" w:w="5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Two-way communication — their input changes the outcome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 — Informed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Notified after the decision is made</w:t>
            </w:r>
          </w:p>
        </w:tc>
        <w:tc>
          <w:tcPr>
            <w:tcW w:type="dxa" w:w="5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One-way communication — they do not influence the outcome</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700"/>
        <w:gridCol w:w="800"/>
        <w:gridCol w:w="900"/>
        <w:gridCol w:w="900"/>
        <w:gridCol w:w="726"/>
      </w:tblGrid>
      <w:tr>
        <w:tc>
          <w:tcPr>
            <w:tcW w:type="dxa" w:w="28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60"/>
            </w:tcMar>
          </w:tcPr>
          <w:p>
            <w:pPr>
              <w:spacing w:before="0" w:after="0"/>
              <w:jc w:val="left"/>
            </w:pPr>
            <w:r>
              <w:rPr>
                <w:rFonts w:ascii="Arial" w:cs="Arial" w:eastAsia="Arial" w:hAnsi="Arial"/>
                <w:b/>
                <w:bCs/>
                <w:color w:val="FFFFFF"/>
                <w:sz w:val="18"/>
                <w:szCs w:val="18"/>
              </w:rPr>
              <w:t xml:space="preserve">Decision / Activity</w:t>
            </w:r>
          </w:p>
        </w:tc>
        <w:tc>
          <w:tcPr>
            <w:tcW w:type="dxa" w:w="700"/>
            <w:tcBorders>
              <w:top w:val="single" w:color="1A3A5C" w:sz="2"/>
              <w:left w:val="single" w:color="1A3A5C" w:sz="2"/>
              <w:bottom w:val="single" w:color="1A3A5C" w:sz="2"/>
              <w:right w:val="single" w:color="1A3A5C" w:sz="2"/>
            </w:tcBorders>
            <w:shd w:fill="1A3A5C" w:val="clear"/>
            <w:tcMar>
              <w:top w:type="dxa" w:w="80"/>
              <w:left w:type="dxa" w:w="60"/>
              <w:bottom w:type="dxa" w:w="80"/>
              <w:right w:type="dxa" w:w="60"/>
            </w:tcMar>
          </w:tcPr>
          <w:p>
            <w:pPr>
              <w:spacing w:before="0" w:after="0"/>
              <w:jc w:val="center"/>
            </w:pPr>
            <w:r>
              <w:rPr>
                <w:rFonts w:ascii="Arial" w:cs="Arial" w:eastAsia="Arial" w:hAnsi="Arial"/>
                <w:b/>
                <w:bCs/>
                <w:color w:val="FFFFFF"/>
                <w:sz w:val="18"/>
                <w:szCs w:val="18"/>
              </w:rPr>
              <w:t xml:space="preserve">MD</w:t>
            </w:r>
          </w:p>
        </w:tc>
        <w:tc>
          <w:tcPr>
            <w:tcW w:type="dxa" w:w="700"/>
            <w:tcBorders>
              <w:top w:val="single" w:color="1A3A5C" w:sz="2"/>
              <w:left w:val="single" w:color="1A3A5C" w:sz="2"/>
              <w:bottom w:val="single" w:color="1A3A5C" w:sz="2"/>
              <w:right w:val="single" w:color="1A3A5C" w:sz="2"/>
            </w:tcBorders>
            <w:shd w:fill="1A3A5C" w:val="clear"/>
            <w:tcMar>
              <w:top w:type="dxa" w:w="80"/>
              <w:left w:type="dxa" w:w="60"/>
              <w:bottom w:type="dxa" w:w="80"/>
              <w:right w:type="dxa" w:w="60"/>
            </w:tcMar>
          </w:tcPr>
          <w:p>
            <w:pPr>
              <w:spacing w:before="0" w:after="0"/>
              <w:jc w:val="center"/>
            </w:pPr>
            <w:r>
              <w:rPr>
                <w:rFonts w:ascii="Arial" w:cs="Arial" w:eastAsia="Arial" w:hAnsi="Arial"/>
                <w:b/>
                <w:bCs/>
                <w:color w:val="FFFFFF"/>
                <w:sz w:val="18"/>
                <w:szCs w:val="18"/>
              </w:rPr>
              <w:t xml:space="preserve">Tech Lead</w:t>
            </w:r>
          </w:p>
        </w:tc>
        <w:tc>
          <w:tcPr>
            <w:tcW w:type="dxa" w:w="700"/>
            <w:tcBorders>
              <w:top w:val="single" w:color="1A3A5C" w:sz="2"/>
              <w:left w:val="single" w:color="1A3A5C" w:sz="2"/>
              <w:bottom w:val="single" w:color="1A3A5C" w:sz="2"/>
              <w:right w:val="single" w:color="1A3A5C" w:sz="2"/>
            </w:tcBorders>
            <w:shd w:fill="1A3A5C" w:val="clear"/>
            <w:tcMar>
              <w:top w:type="dxa" w:w="80"/>
              <w:left w:type="dxa" w:w="60"/>
              <w:bottom w:type="dxa" w:w="80"/>
              <w:right w:type="dxa" w:w="60"/>
            </w:tcMar>
          </w:tcPr>
          <w:p>
            <w:pPr>
              <w:spacing w:before="0" w:after="0"/>
              <w:jc w:val="center"/>
            </w:pPr>
            <w:r>
              <w:rPr>
                <w:rFonts w:ascii="Arial" w:cs="Arial" w:eastAsia="Arial" w:hAnsi="Arial"/>
                <w:b/>
                <w:bCs/>
                <w:color w:val="FFFFFF"/>
                <w:sz w:val="18"/>
                <w:szCs w:val="18"/>
              </w:rPr>
              <w:t xml:space="preserve">Lead Dev</w:t>
            </w:r>
          </w:p>
        </w:tc>
        <w:tc>
          <w:tcPr>
            <w:tcW w:type="dxa" w:w="800"/>
            <w:tcBorders>
              <w:top w:val="single" w:color="1A3A5C" w:sz="2"/>
              <w:left w:val="single" w:color="1A3A5C" w:sz="2"/>
              <w:bottom w:val="single" w:color="1A3A5C" w:sz="2"/>
              <w:right w:val="single" w:color="1A3A5C" w:sz="2"/>
            </w:tcBorders>
            <w:shd w:fill="1A3A5C" w:val="clear"/>
            <w:tcMar>
              <w:top w:type="dxa" w:w="80"/>
              <w:left w:type="dxa" w:w="60"/>
              <w:bottom w:type="dxa" w:w="80"/>
              <w:right w:type="dxa" w:w="60"/>
            </w:tcMar>
          </w:tcPr>
          <w:p>
            <w:pPr>
              <w:spacing w:before="0" w:after="0"/>
              <w:jc w:val="center"/>
            </w:pPr>
            <w:r>
              <w:rPr>
                <w:rFonts w:ascii="Arial" w:cs="Arial" w:eastAsia="Arial" w:hAnsi="Arial"/>
                <w:b/>
                <w:bCs/>
                <w:color w:val="FFFFFF"/>
                <w:sz w:val="18"/>
                <w:szCs w:val="18"/>
              </w:rPr>
              <w:t xml:space="preserve">Frontend Dev</w:t>
            </w:r>
          </w:p>
        </w:tc>
        <w:tc>
          <w:tcPr>
            <w:tcW w:type="dxa" w:w="900"/>
            <w:tcBorders>
              <w:top w:val="single" w:color="1A3A5C" w:sz="2"/>
              <w:left w:val="single" w:color="1A3A5C" w:sz="2"/>
              <w:bottom w:val="single" w:color="1A3A5C" w:sz="2"/>
              <w:right w:val="single" w:color="1A3A5C" w:sz="2"/>
            </w:tcBorders>
            <w:shd w:fill="1A3A5C" w:val="clear"/>
            <w:tcMar>
              <w:top w:type="dxa" w:w="80"/>
              <w:left w:type="dxa" w:w="60"/>
              <w:bottom w:type="dxa" w:w="80"/>
              <w:right w:type="dxa" w:w="60"/>
            </w:tcMar>
          </w:tcPr>
          <w:p>
            <w:pPr>
              <w:spacing w:before="0" w:after="0"/>
              <w:jc w:val="center"/>
            </w:pPr>
            <w:r>
              <w:rPr>
                <w:rFonts w:ascii="Arial" w:cs="Arial" w:eastAsia="Arial" w:hAnsi="Arial"/>
                <w:b/>
                <w:bCs/>
                <w:color w:val="FFFFFF"/>
                <w:sz w:val="18"/>
                <w:szCs w:val="18"/>
              </w:rPr>
              <w:t xml:space="preserve">Compliance</w:t>
            </w:r>
          </w:p>
        </w:tc>
        <w:tc>
          <w:tcPr>
            <w:tcW w:type="dxa" w:w="900"/>
            <w:tcBorders>
              <w:top w:val="single" w:color="1A3A5C" w:sz="2"/>
              <w:left w:val="single" w:color="1A3A5C" w:sz="2"/>
              <w:bottom w:val="single" w:color="1A3A5C" w:sz="2"/>
              <w:right w:val="single" w:color="1A3A5C" w:sz="2"/>
            </w:tcBorders>
            <w:shd w:fill="1A3A5C" w:val="clear"/>
            <w:tcMar>
              <w:top w:type="dxa" w:w="80"/>
              <w:left w:type="dxa" w:w="60"/>
              <w:bottom w:type="dxa" w:w="80"/>
              <w:right w:type="dxa" w:w="60"/>
            </w:tcMar>
          </w:tcPr>
          <w:p>
            <w:pPr>
              <w:spacing w:before="0" w:after="0"/>
              <w:jc w:val="center"/>
            </w:pPr>
            <w:r>
              <w:rPr>
                <w:rFonts w:ascii="Arial" w:cs="Arial" w:eastAsia="Arial" w:hAnsi="Arial"/>
                <w:b/>
                <w:bCs/>
                <w:color w:val="FFFFFF"/>
                <w:sz w:val="18"/>
                <w:szCs w:val="18"/>
              </w:rPr>
              <w:t xml:space="preserve">Domain Expert</w:t>
            </w:r>
          </w:p>
        </w:tc>
        <w:tc>
          <w:tcPr>
            <w:tcW w:type="dxa" w:w="726"/>
            <w:tcBorders>
              <w:top w:val="single" w:color="1A3A5C" w:sz="2"/>
              <w:left w:val="single" w:color="1A3A5C" w:sz="2"/>
              <w:bottom w:val="single" w:color="1A3A5C" w:sz="2"/>
              <w:right w:val="single" w:color="1A3A5C" w:sz="2"/>
            </w:tcBorders>
            <w:shd w:fill="1A3A5C" w:val="clear"/>
            <w:tcMar>
              <w:top w:type="dxa" w:w="80"/>
              <w:left w:type="dxa" w:w="60"/>
              <w:bottom w:type="dxa" w:w="80"/>
              <w:right w:type="dxa" w:w="60"/>
            </w:tcMar>
          </w:tcPr>
          <w:p>
            <w:pPr>
              <w:spacing w:before="0" w:after="0"/>
              <w:jc w:val="center"/>
            </w:pPr>
            <w:r>
              <w:rPr>
                <w:rFonts w:ascii="Arial" w:cs="Arial" w:eastAsia="Arial" w:hAnsi="Arial"/>
                <w:b/>
                <w:bCs/>
                <w:color w:val="FFFFFF"/>
                <w:sz w:val="18"/>
                <w:szCs w:val="18"/>
              </w:rPr>
              <w:t xml:space="preserve">Lawyer</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SRS document before coding</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8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architecture before coding</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8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Sign off on API specification</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8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new module scope change</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8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Select technology or library</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8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Merge PR to develop branch</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8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security review per module</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8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Payment Engine code specifically</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8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Deploy to staging</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8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deploy to production</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8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r>
            <w:r/>
            <w:r/>
            <w:r/>
            <w:r>
              <w:t>Approve settlement ledger format and P&amp;L reporting</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r>
              <w:t>A</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r>
              <w:t>C</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r>
              <w:t>R</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r>
            <w:r/>
            <w:r/>
            <w:r/>
            <w:r>
              <w:t>—</w:t>
            </w:r>
          </w:p>
        </w:tc>
        <w:tc>
          <w:tcPr>
            <w:tcW w:type="dxa" w:w="9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r>
              <w:t>C</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r>
              <w:t>C</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r>
              <w: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r>
            <w:r/>
            <w:r/>
            <w:r>
              <w:t>Set minimum collateral coverage ratio</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t>A</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t>C</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t>I</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r>
            <w:r/>
            <w:r/>
            <w:r>
              <w:t>—</w:t>
            </w:r>
          </w:p>
        </w:tc>
        <w:tc>
          <w:tcPr>
            <w:tcW w:type="dxa" w:w="9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t>C</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t>R</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r>
              <w: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r>
            <w:r/>
            <w:r>
              <w:t>Verify collateral before disbursement (sign off)</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t>I</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t>I</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t>I</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r>
            <w:r/>
            <w:r>
              <w:t>—</w:t>
            </w:r>
          </w:p>
        </w:tc>
        <w:tc>
          <w:tcPr>
            <w:tcW w:type="dxa" w:w="9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t>A</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t>R</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r>
              <w: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r>
            <w:r>
              <w:t>Approve eligibility question set and thresholds</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t>A</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t>C</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t>I</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r>
            <w:r>
              <w:t>—</w:t>
            </w:r>
          </w:p>
        </w:tc>
        <w:tc>
          <w:tcPr>
            <w:tcW w:type="dxa" w:w="9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t>C</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t>C</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r>
            <w:r>
              <w: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KYC document checklist</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AML transaction thresholds</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8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File SAR with FIA Uganda</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data retention policy</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8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Sign PDPA compliance document</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Set buyer credit limit</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8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726"/>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Set MMS discount margin rate</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726"/>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Set AML reporting threshold</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8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bank facility drawdown limit</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726"/>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Gate 1 opening (closed pilot)</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8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Gate 2 opening (expansion)</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Gate 3 full launch</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8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9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Declare payment incident</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Notify affected suppliers of incident</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8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File regulatory breach notification</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8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900"/>
            <w:tcBorders>
              <w:top w:val="single" w:color="D1D5DB" w:sz="1"/>
              <w:left w:val="single" w:color="D1D5DB" w:sz="1"/>
              <w:bottom w:val="single" w:color="D1D5DB" w:sz="1"/>
              <w:right w:val="single" w:color="D1D5DB" w:sz="1"/>
            </w:tcBorders>
            <w:shd w:fill="1D4ED8"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R</w:t>
            </w:r>
          </w:p>
        </w:tc>
        <w:tc>
          <w:tcPr>
            <w:tcW w:type="dxa" w:w="9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r>
      <w:tr>
        <w:tc>
          <w:tcPr>
            <w:tcW w:type="dxa" w:w="280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new team member hire</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8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F9FAFB"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80"/>
            </w:tcMar>
          </w:tcPr>
          <w:p>
            <w:pPr>
              <w:spacing w:before="0" w:after="0"/>
            </w:pPr>
            <w:r>
              <w:rPr>
                <w:rFonts w:ascii="Arial" w:cs="Arial" w:eastAsia="Arial" w:hAnsi="Arial"/>
                <w:color w:val="374151"/>
                <w:sz w:val="19"/>
                <w:szCs w:val="19"/>
              </w:rPr>
              <w:t xml:space="preserve">Approve contractor engagement</w:t>
            </w:r>
          </w:p>
        </w:tc>
        <w:tc>
          <w:tcPr>
            <w:tcW w:type="dxa" w:w="700"/>
            <w:tcBorders>
              <w:top w:val="single" w:color="D1D5DB" w:sz="1"/>
              <w:left w:val="single" w:color="D1D5DB" w:sz="1"/>
              <w:bottom w:val="single" w:color="D1D5DB" w:sz="1"/>
              <w:right w:val="single" w:color="D1D5DB" w:sz="1"/>
            </w:tcBorders>
            <w:shd w:fill="0F6E56"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A</w:t>
            </w:r>
          </w:p>
        </w:tc>
        <w:tc>
          <w:tcPr>
            <w:tcW w:type="dxa" w:w="700"/>
            <w:tcBorders>
              <w:top w:val="single" w:color="D1D5DB" w:sz="1"/>
              <w:left w:val="single" w:color="D1D5DB" w:sz="1"/>
              <w:bottom w:val="single" w:color="D1D5DB" w:sz="1"/>
              <w:right w:val="single" w:color="D1D5DB" w:sz="1"/>
            </w:tcBorders>
            <w:shd w:fill="854F0B"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C</w:t>
            </w:r>
          </w:p>
        </w:tc>
        <w:tc>
          <w:tcPr>
            <w:tcW w:type="dxa" w:w="7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8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374151" w:val="clear"/>
            <w:tcMar>
              <w:top w:type="dxa" w:w="70"/>
              <w:left w:type="dxa" w:w="60"/>
              <w:bottom w:type="dxa" w:w="70"/>
              <w:right w:type="dxa" w:w="60"/>
            </w:tcMar>
          </w:tcPr>
          <w:p>
            <w:pPr>
              <w:spacing w:before="0" w:after="0"/>
              <w:jc w:val="center"/>
            </w:pPr>
            <w:r>
              <w:rPr>
                <w:rFonts w:ascii="Arial" w:cs="Arial" w:eastAsia="Arial" w:hAnsi="Arial"/>
                <w:b/>
                <w:bCs/>
                <w:color w:val="FFFFFF"/>
                <w:sz w:val="20"/>
                <w:szCs w:val="20"/>
              </w:rPr>
              <w:t xml:space="preserve">I</w:t>
            </w:r>
          </w:p>
        </w:tc>
        <w:tc>
          <w:tcPr>
            <w:tcW w:type="dxa" w:w="900"/>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c>
          <w:tcPr>
            <w:tcW w:type="dxa" w:w="726"/>
            <w:tcBorders>
              <w:top w:val="single" w:color="D1D5DB" w:sz="1"/>
              <w:left w:val="single" w:color="D1D5DB" w:sz="1"/>
              <w:bottom w:val="single" w:color="D1D5DB" w:sz="1"/>
              <w:right w:val="single" w:color="D1D5DB" w:sz="1"/>
            </w:tcBorders>
            <w:shd w:fill="FFFFFF" w:val="clear"/>
            <w:tcMar>
              <w:top w:type="dxa" w:w="70"/>
              <w:left w:type="dxa" w:w="60"/>
              <w:bottom w:type="dxa" w:w="70"/>
              <w:right w:type="dxa" w:w="60"/>
            </w:tcMar>
          </w:tcPr>
          <w:p>
            <w:pPr>
              <w:spacing w:before="0" w:after="0"/>
              <w:jc w:val="center"/>
            </w:pPr>
            <w:r>
              <w:rPr>
                <w:rFonts w:ascii="Arial" w:cs="Arial" w:eastAsia="Arial" w:hAnsi="Arial"/>
                <w:b w:val="false"/>
                <w:bCs w:val="false"/>
                <w:color w:val="CCCCCC"/>
                <w:sz w:val="20"/>
                <w:szCs w:val="20"/>
              </w:rPr>
              <w:t xml:space="preserve">—</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3. Sprint Plan — Week by Week Build Schedule</w:t>
      </w:r>
    </w:p>
    <w:p>
      <w:pPr>
        <w:spacing w:before="60" w:after="100"/>
        <w:jc w:val="left"/>
      </w:pPr>
      <w:r>
        <w:rPr>
          <w:rFonts w:ascii="Arial" w:cs="Arial" w:eastAsia="Arial" w:hAnsi="Arial"/>
          <w:b w:val="false"/>
          <w:bCs w:val="false"/>
          <w:i w:val="false"/>
          <w:iCs w:val="false"/>
          <w:color w:val="374151"/>
          <w:sz w:val="22"/>
          <w:szCs w:val="22"/>
        </w:rPr>
        <w:t xml:space="preserve">This is the master build schedule. Each row is one week. Each week has assigned tasks, an owner, and the acceptance test that proves the week's work is done. This plan is reviewed every Monday morning. If a week slips, adjust subsequent weeks immediately — do not absorb delays silently.</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6"/>
              <w:left w:val="single" w:color="854F0B" w:sz="16"/>
              <w:bottom w:val="single" w:color="854F0B" w:sz="2"/>
              <w:right w:val="single" w:color="854F0B" w:sz="2"/>
            </w:tcBorders>
            <w:shd w:fill="FFFBEB" w:val="clear"/>
            <w:tcMar>
              <w:top w:type="dxa" w:w="120"/>
              <w:left w:type="dxa" w:w="200"/>
              <w:bottom w:type="dxa" w:w="120"/>
              <w:right w:type="dxa" w:w="160"/>
            </w:tcMar>
          </w:tcPr>
          <w:p>
            <w:pPr>
              <w:spacing w:before="0" w:after="0"/>
            </w:pPr>
            <w:r>
              <w:rPr>
                <w:rFonts w:ascii="Arial" w:cs="Arial" w:eastAsia="Arial" w:hAnsi="Arial"/>
                <w:color w:val="854F0B"/>
                <w:sz w:val="21"/>
                <w:szCs w:val="21"/>
              </w:rPr>
              <w:t xml:space="preserve">Two-week buffer is built into this plan at Weeks 14 and 19. These are not free weeks — they are contingency for the most common delays: penetration test findings that require fixes, and pilot issues that need resolution before Gate 2.</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1A3A5C" w:sz="2"/>
              <w:left w:val="single" w:color="1A3A5C" w:sz="2"/>
              <w:bottom w:val="single" w:color="1A3A5C" w:sz="2"/>
              <w:right w:val="single" w:color="1A3A5C" w:sz="2"/>
            </w:tcBorders>
            <w:shd w:fill="1A3A5C" w:val="clear"/>
            <w:tcMar>
              <w:top w:type="dxa" w:w="100"/>
              <w:left w:type="dxa" w:w="100"/>
              <w:bottom w:type="dxa" w:w="100"/>
              <w:right w:type="dxa" w:w="80"/>
            </w:tcMar>
          </w:tcPr>
          <w:p>
            <w:pPr>
              <w:spacing w:before="0" w:after="0"/>
            </w:pPr>
            <w:r>
              <w:rPr>
                <w:rFonts w:ascii="Arial" w:cs="Arial" w:eastAsia="Arial" w:hAnsi="Arial"/>
                <w:b/>
                <w:bCs/>
                <w:color w:val="FFFFFF"/>
                <w:sz w:val="20"/>
                <w:szCs w:val="20"/>
              </w:rPr>
              <w:t xml:space="preserve">Week</w:t>
            </w:r>
          </w:p>
        </w:tc>
        <w:tc>
          <w:tcPr>
            <w:tcW w:type="dxa" w:w="1400"/>
            <w:tcBorders>
              <w:top w:val="single" w:color="1A3A5C" w:sz="2"/>
              <w:left w:val="single" w:color="1A3A5C" w:sz="2"/>
              <w:bottom w:val="single" w:color="1A3A5C" w:sz="2"/>
              <w:right w:val="single" w:color="1A3A5C" w:sz="2"/>
            </w:tcBorders>
            <w:shd w:fill="1A3A5C" w:val="clear"/>
            <w:tcMar>
              <w:top w:type="dxa" w:w="100"/>
              <w:left w:type="dxa" w:w="100"/>
              <w:bottom w:type="dxa" w:w="100"/>
              <w:right w:type="dxa" w:w="80"/>
            </w:tcMar>
          </w:tcPr>
          <w:p>
            <w:pPr>
              <w:spacing w:before="0" w:after="0"/>
            </w:pPr>
            <w:r>
              <w:rPr>
                <w:rFonts w:ascii="Arial" w:cs="Arial" w:eastAsia="Arial" w:hAnsi="Arial"/>
                <w:b/>
                <w:bCs/>
                <w:color w:val="FFFFFF"/>
                <w:sz w:val="20"/>
                <w:szCs w:val="20"/>
              </w:rPr>
              <w:t xml:space="preserve">Focus</w:t>
            </w:r>
          </w:p>
        </w:tc>
        <w:tc>
          <w:tcPr>
            <w:tcW w:type="dxa" w:w="3600"/>
            <w:tcBorders>
              <w:top w:val="single" w:color="1A3A5C" w:sz="2"/>
              <w:left w:val="single" w:color="1A3A5C" w:sz="2"/>
              <w:bottom w:val="single" w:color="1A3A5C" w:sz="2"/>
              <w:right w:val="single" w:color="1A3A5C" w:sz="2"/>
            </w:tcBorders>
            <w:shd w:fill="1A3A5C" w:val="clear"/>
            <w:tcMar>
              <w:top w:type="dxa" w:w="100"/>
              <w:left w:type="dxa" w:w="100"/>
              <w:bottom w:type="dxa" w:w="100"/>
              <w:right w:type="dxa" w:w="80"/>
            </w:tcMar>
          </w:tcPr>
          <w:p>
            <w:pPr>
              <w:spacing w:before="0" w:after="0"/>
            </w:pPr>
            <w:r>
              <w:rPr>
                <w:rFonts w:ascii="Arial" w:cs="Arial" w:eastAsia="Arial" w:hAnsi="Arial"/>
                <w:b/>
                <w:bCs/>
                <w:color w:val="FFFFFF"/>
                <w:sz w:val="20"/>
                <w:szCs w:val="20"/>
              </w:rPr>
              <w:t xml:space="preserve">Tasks</w:t>
            </w:r>
          </w:p>
        </w:tc>
        <w:tc>
          <w:tcPr>
            <w:tcW w:type="dxa" w:w="1600"/>
            <w:tcBorders>
              <w:top w:val="single" w:color="1A3A5C" w:sz="2"/>
              <w:left w:val="single" w:color="1A3A5C" w:sz="2"/>
              <w:bottom w:val="single" w:color="1A3A5C" w:sz="2"/>
              <w:right w:val="single" w:color="1A3A5C" w:sz="2"/>
            </w:tcBorders>
            <w:shd w:fill="1A3A5C" w:val="clear"/>
            <w:tcMar>
              <w:top w:type="dxa" w:w="100"/>
              <w:left w:type="dxa" w:w="100"/>
              <w:bottom w:type="dxa" w:w="100"/>
              <w:right w:type="dxa" w:w="80"/>
            </w:tcMar>
          </w:tcPr>
          <w:p>
            <w:pPr>
              <w:spacing w:before="0" w:after="0"/>
            </w:pPr>
            <w:r>
              <w:rPr>
                <w:rFonts w:ascii="Arial" w:cs="Arial" w:eastAsia="Arial" w:hAnsi="Arial"/>
                <w:b/>
                <w:bCs/>
                <w:color w:val="FFFFFF"/>
                <w:sz w:val="20"/>
                <w:szCs w:val="20"/>
              </w:rPr>
              <w:t xml:space="preserve">Owner</w:t>
            </w:r>
          </w:p>
        </w:tc>
        <w:tc>
          <w:tcPr>
            <w:tcW w:type="dxa" w:w="1626"/>
            <w:tcBorders>
              <w:top w:val="single" w:color="1A3A5C" w:sz="2"/>
              <w:left w:val="single" w:color="1A3A5C" w:sz="2"/>
              <w:bottom w:val="single" w:color="1A3A5C" w:sz="2"/>
              <w:right w:val="single" w:color="1A3A5C" w:sz="2"/>
            </w:tcBorders>
            <w:shd w:fill="1A3A5C" w:val="clear"/>
            <w:tcMar>
              <w:top w:type="dxa" w:w="100"/>
              <w:left w:type="dxa" w:w="100"/>
              <w:bottom w:type="dxa" w:w="100"/>
              <w:right w:type="dxa" w:w="80"/>
            </w:tcMar>
          </w:tcPr>
          <w:p>
            <w:pPr>
              <w:spacing w:before="0" w:after="0"/>
            </w:pPr>
            <w:r>
              <w:rPr>
                <w:rFonts w:ascii="Arial" w:cs="Arial" w:eastAsia="Arial" w:hAnsi="Arial"/>
                <w:b/>
                <w:bCs/>
                <w:color w:val="FFFFFF"/>
                <w:sz w:val="20"/>
                <w:szCs w:val="20"/>
              </w:rPr>
              <w:t xml:space="preserve">Acceptance Test</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1–2</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Phase 0: Regulatory</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Engage Ugandan financial lawyer. File inquiry with Bank of Uganda. Apply for MTN MoMo sandbox access. Apply for Airtel sandbox access. Open corporate bank account. Board resolution to proceed with build.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MD + Compliance + Lawyer</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Legal engagement confirmed. MTN application submitted. Bank account open.</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3</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Phase 1: Requirements</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Generate SRS using Prompts 1.1–1.5 from Build Guide. All team reviews SRS. SRS signed by MD, Tech Lead, Compliance Officer. Domain expert confirms business logic is correct.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Tech Lead + Compliance</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Signed SRS document. Every module has minimum 6 requirements. All non-functional requirements are measurable.</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4</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Phase 2: Architecture</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STRIDE threat model. C4 Context + Container diagrams in draw.io. Microservices design. Full database schema SQL. ADRs written. Architecture presented to bank's trade finance team.</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Tech Lead</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Diagrams in /docs/architecture/. SQL migration file validated. Bank meeting confirmed.</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5</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Phase 3: Design</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OpenAPI YAML generated using Prompt 3.1. Imported to Postman. SOLID design patterns documented. PR template created. CLAUDE.md finalised.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Tech Lead + Lead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Postman collection has all endpoints. openapi.yaml committed to /docs/api/.</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6</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Phase 4: Scaffold</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Project scaffold created. Docker containers running. Security baseline active: Helmet, rate limiting, audit middleware, parameterised query helper. Health endpoint returns ok. All developers have running local environments.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 + Frontend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curl /health returns {status:ok, database:connected, redis:connected}. All 13 DB tables exist. All developers signed Developer Handbook.</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7</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Module 1: Auth</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JWT login. bcrypt 12 rounds. 2FA with TOTP. Account lockout after 5 failures. Redis session blacklist. Role guard middleware. Rate limiting on /auth/* endpoints.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Login works. Lockout works. Wrong role returns 403. Expired token returns 401. All audit log entries present.</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8</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Module 2: Onboarding</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Supplier registration with encrypted PII. Document upload with file hash. KYC document checklist validator. Sanctions screening. Buyer profile creation (credit officer role).</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Supplier cannot submit invoice without approved KYC. Bank account number encrypted in DB. Sanctions flag created for blocked-list match.</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9</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Module 3: Invoice Intake</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5-validation chain. AML flag for large invoices. 72hr SLA timer on invoice creation. Notice of Assignment email triggered. All validation results logged individually.</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Duplicate invoice rejected. Credit limit exceeded rejected. Tenor outside range rejected. Correct error codes returned.</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10</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Module 4: Buyer Verification</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Secure token generation. Notice of Assignment email with confirmation link. Buyer confirmation form. Token expiry at 48 hours. Automated reminders at 24 and 36 hours. Status locked until buyer confirms.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 + Frontend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Invoice with no buyer confirmation cannot advance to 'scored' status. DB constraint verified directly.</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11</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Module 5 + 6: Risk + Pricing</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5 scoring factor classes. Weighted combination. All 5 factor scores stored individually. Pricing formula: cost of funds + risk premium + MMS margin × tenor. Transparent fee breakdown to supplier.</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Worked Example 1 from Developer Handbook produces exact expected numbers. All 5 factor scores present in risk_scores table.</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12</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Module 7: Approvals</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Tier 1 auto-approval. Tier 2 credit manager with mandatory comments. Tier 3 committee quorum (2 approvers). Concurrent approval lock. 24-hour escalation alert. SLA monitoring.</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Single credit officer cannot approve Tier 3 invoice. Comments field enforced at API level. Committee quorum verified in integration test.</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13</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Module 8: Payment Engine</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Dual auth at application layer. Dual auth at DB trigger level. Payment provider interface. MTN MoMo sandbox integration. Airtel sandbox integration. 72-hour SLA alert. Supplier SMS + email notification.</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Payment cannot execute with single authorisation. Same user cannot be both dual auth signatories. MTN MoMo sandbox payment completes successfully.</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13</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Module 9 + 10: Collections + Facilities</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Automated reminder Bull jobs (T-7, T-3, due date). Overdue escalation chain. Penalty calculation. Bank facility drawdown tracking. Interest accrual cron job. 90% utilisation alert.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T-7 reminder fires in test. Overdue penalty matches Worked Example 2. Facility suspended at 90% utilisation.</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13</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Module 11: Reporting</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All 7 report types. Row-level security enforced at SQL level. CSV audit export. Regulatory report format. Role-based report access.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Lead Dev + Frontend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Supplier JWT cannot access portfolio report. Audit export CSV contains all required columns.</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14</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Testing: Unit + Integration</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Unit tests for all modules. Jest coverage 80%+ on all, 95%+ on Modules 5 and 8. Integration tests for full invoice lifecycle and all failure paths. Performance tests with k6.</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All Developers</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npm run test:coverage shows all modules at or above target. k6 load test passes all SLA thresholds.</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14</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BUFFER WEEK</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Fix any test failures. Address any security issues found in testing. Documentation of all test results.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Technical Lead</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All tests passing. Coverage targets met.</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15</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Phase 7: Security Audit</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OWASP ZAP scan against all endpoints. Claude Desktop OWASP Top 10 audit. AML compliance document. PDPA compliance document. External penetration test (book 4 weeks ahead).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Tech Lead + Compliance</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Formal signed security audit document. No HIGH ZAP findings. Compliance documents signed by Compliance Officer.</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15</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Phase 8: Deployment</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GitHub Actions pipeline all 10 stages passing. Nginx + SSL on staging. PostgreSQL replication. Backup script + restore test. Prometheus + Grafana monitoring. Smoke tests on staging.</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Frontend Dev + Tech Lead</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Full invoice lifecycle works on staging server. Monitoring alerts fire on test event. Backup restore tested successfully.</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15</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Phase 9: Documentation</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Technical documentation package. User guides for all 6 roles. Swagger UI live at /api-docs. Runbook for all failure scenarios.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Tech Lead + Lead Dev</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Each user guide reviewed by one real user in that role. Runbook covers all 10 scenarios.</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16–17</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Gate 1: Closed Pilot</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One buyer. Two suppliers. Maximum invoice UGX 5,000,000. MD approves each payment manually. Compliance Officer reviews daily audit log. Collect written feedback from all participants.</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MD + Compliance + Operations</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5 complete invoice cycles with zero payment errors. MD and Compliance Officer sign Gate 1 completion form.</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17</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External Penetration Test</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Security firm conducts full penetration test on staging environment. All findings reviewed. Critical and high findings fixed before Gate 2.</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Tech Lead + Security Firm</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Penetration test report issued. Zero critical findings. Zero high findings.</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18–19</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Gate 2: Controlled Expansion</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10 buyers. 20 suppliers. Maximum invoice UGX 50,000,000. Tier 1 auto-approval active. Weekly compliance review.</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Operations + Compliance</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28 days with no critical incidents. Weekly audit review passed.</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19</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BUFFER WEEK</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Address any Gate 2 issues. Regulatory confirmation received. Bank facility confirmed.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MD + Compliance</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Bank facility letter received. Legal opinion confirmed.</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1600"/>
        <w:gridCol w:w="1626"/>
      </w:tblGrid>
      <w:tr>
        <w:tc>
          <w:tcPr>
            <w:tcW w:type="dxa" w:w="800"/>
            <w:tcBorders>
              <w:top w:val="single" w:color="D1D5DB" w:sz="1"/>
              <w:left w:val="single" w:color="D1D5DB" w:sz="1"/>
              <w:bottom w:val="single" w:color="D1D5DB" w:sz="1"/>
              <w:right w:val="single" w:color="D1D5DB" w:sz="1"/>
            </w:tcBorders>
            <w:shd w:fill="1A3A5C" w:val="clear"/>
            <w:tcMar>
              <w:top w:type="dxa" w:w="100"/>
              <w:left w:type="dxa" w:w="100"/>
              <w:bottom w:type="dxa" w:w="100"/>
              <w:right w:type="dxa" w:w="80"/>
            </w:tcMar>
            <w:vAlign w:val="center"/>
          </w:tcPr>
          <w:p>
            <w:pPr>
              <w:spacing w:before="0" w:after="0"/>
              <w:jc w:val="center"/>
            </w:pPr>
            <w:r>
              <w:rPr>
                <w:rFonts w:ascii="Arial" w:cs="Arial" w:eastAsia="Arial" w:hAnsi="Arial"/>
                <w:b/>
                <w:bCs/>
                <w:color w:val="FFFFFF"/>
                <w:sz w:val="19"/>
                <w:szCs w:val="19"/>
              </w:rPr>
              <w:t xml:space="preserve">20+</w:t>
            </w:r>
          </w:p>
        </w:tc>
        <w:tc>
          <w:tcPr>
            <w:tcW w:type="dxa" w:w="140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00"/>
            </w:tcMar>
            <w:vAlign w:val="center"/>
          </w:tcPr>
          <w:p>
            <w:pPr>
              <w:spacing w:before="0" w:after="0"/>
            </w:pPr>
            <w:r>
              <w:rPr>
                <w:rFonts w:ascii="Arial" w:cs="Arial" w:eastAsia="Arial" w:hAnsi="Arial"/>
                <w:b/>
                <w:bCs/>
                <w:color w:val="FFFFFF"/>
                <w:sz w:val="19"/>
                <w:szCs w:val="19"/>
              </w:rPr>
              <w:t xml:space="preserve">Gate 3: Full Launch</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00"/>
            </w:tcMar>
          </w:tcPr>
          <w:p>
            <w:pPr>
              <w:spacing w:before="0" w:after="0"/>
            </w:pPr>
            <w:r>
              <w:rPr>
                <w:rFonts w:ascii="Arial" w:cs="Arial" w:eastAsia="Arial" w:hAnsi="Arial"/>
                <w:color w:val="374151"/>
                <w:sz w:val="19"/>
                <w:szCs w:val="19"/>
              </w:rPr>
              <w:t xml:space="preserve">Board resolution. Independent audit passed. Credit insurance in place. Cyber insurance in place. Full public launch.</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00"/>
              <w:bottom w:type="dxa" w:w="100"/>
              <w:right w:type="dxa" w:w="80"/>
            </w:tcMar>
          </w:tcPr>
          <w:p>
            <w:pPr>
              <w:spacing w:before="0" w:after="0"/>
            </w:pPr>
            <w:r>
              <w:rPr>
                <w:rFonts w:ascii="Arial" w:cs="Arial" w:eastAsia="Arial" w:hAnsi="Arial"/>
                <w:color w:val="374151"/>
                <w:sz w:val="19"/>
                <w:szCs w:val="19"/>
              </w:rPr>
              <w:t xml:space="preserve">MD + Board</w:t>
            </w:r>
          </w:p>
        </w:tc>
        <w:tc>
          <w:tcPr>
            <w:tcW w:type="dxa" w:w="1626"/>
            <w:tcBorders>
              <w:top w:val="single" w:color="D1D5DB" w:sz="1"/>
              <w:left w:val="single" w:color="D1D5DB" w:sz="1"/>
              <w:bottom w:val="single" w:color="D1D5DB" w:sz="1"/>
              <w:right w:val="single" w:color="D1D5DB" w:sz="1"/>
            </w:tcBorders>
            <w:tcMar>
              <w:top w:type="dxa" w:w="100"/>
              <w:left w:type="dxa" w:w="100"/>
              <w:bottom w:type="dxa" w:w="100"/>
              <w:right w:type="dxa" w:w="80"/>
            </w:tcMar>
          </w:tcPr>
          <w:p>
            <w:pPr>
              <w:spacing w:before="0" w:after="0"/>
            </w:pPr>
            <w:r>
              <w:rPr>
                <w:rFonts w:ascii="Arial" w:cs="Arial" w:eastAsia="Arial" w:hAnsi="Arial"/>
                <w:color w:val="6B7280"/>
                <w:sz w:val="18"/>
                <w:szCs w:val="18"/>
              </w:rPr>
              <w:t xml:space="preserve">Board resolution signed. Audit report clean. Insurance certificates received.</w:t>
            </w:r>
          </w:p>
        </w:tc>
      </w:tr>
    </w:tbl>
    <w:p>
      <w:pPr>
        <w:spacing w:before="0" w:after="40"/>
      </w:pPr>
      <w:r>
        <w:t xml:space="preserve"/>
      </w:r>
    </w:p>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4. Change Control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1B1B" w:sz="6"/>
              <w:left w:val="single" w:color="991B1B" w:sz="16"/>
              <w:bottom w:val="single" w:color="991B1B" w:sz="2"/>
              <w:right w:val="single" w:color="991B1B" w:sz="2"/>
            </w:tcBorders>
            <w:shd w:fill="FEF2F2" w:val="clear"/>
            <w:tcMar>
              <w:top w:type="dxa" w:w="120"/>
              <w:left w:type="dxa" w:w="200"/>
              <w:bottom w:type="dxa" w:w="120"/>
              <w:right w:type="dxa" w:w="160"/>
            </w:tcMar>
          </w:tcPr>
          <w:p>
            <w:pPr>
              <w:spacing w:before="0" w:after="0"/>
            </w:pPr>
            <w:r>
              <w:rPr>
                <w:rFonts w:ascii="Arial" w:cs="Arial" w:eastAsia="Arial" w:hAnsi="Arial"/>
                <w:color w:val="991B1B"/>
                <w:sz w:val="21"/>
                <w:szCs w:val="21"/>
              </w:rPr>
              <w:t xml:space="preserve">Scope creep is the single most common reason fintech builds overrun. Every uncontrolled change to requirements or scope is a risk to the timeline, to the budget, and to system integrity. This process is mandatory. No change is implemented without following it.</w:t>
            </w:r>
          </w:p>
        </w:tc>
      </w:tr>
    </w:tbl>
    <w:p>
      <w:pPr>
        <w:spacing w:before="0" w:after="16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What counts as a change requiring this process?</w:t>
      </w:r>
    </w:p>
    <w:p>
      <w:pPr>
        <w:pStyle w:val="ListParagraph"/>
        <w:numPr>
          <w:ilvl w:val="0"/>
          <w:numId w:val="2"/>
        </w:numPr>
        <w:spacing w:before="40" w:after="80"/>
      </w:pPr>
      <w:r>
        <w:rPr>
          <w:rFonts w:ascii="Arial" w:cs="Arial" w:eastAsia="Arial" w:hAnsi="Arial"/>
          <w:color w:val="374151"/>
          <w:sz w:val="22"/>
          <w:szCs w:val="22"/>
        </w:rPr>
        <w:t xml:space="preserve">Any new feature not described in the signed SRS document</w:t>
      </w:r>
    </w:p>
    <w:p>
      <w:pPr>
        <w:pStyle w:val="ListParagraph"/>
        <w:numPr>
          <w:ilvl w:val="0"/>
          <w:numId w:val="2"/>
        </w:numPr>
        <w:spacing w:before="40" w:after="80"/>
      </w:pPr>
      <w:r>
        <w:rPr>
          <w:rFonts w:ascii="Arial" w:cs="Arial" w:eastAsia="Arial" w:hAnsi="Arial"/>
          <w:color w:val="374151"/>
          <w:sz w:val="22"/>
          <w:szCs w:val="22"/>
        </w:rPr>
        <w:t xml:space="preserve">Any change to an existing feature that alters the API contract (openapi.yaml)</w:t>
      </w:r>
    </w:p>
    <w:p>
      <w:pPr>
        <w:pStyle w:val="ListParagraph"/>
        <w:numPr>
          <w:ilvl w:val="0"/>
          <w:numId w:val="2"/>
        </w:numPr>
        <w:spacing w:before="40" w:after="80"/>
      </w:pPr>
      <w:r>
        <w:rPr>
          <w:rFonts w:ascii="Arial" w:cs="Arial" w:eastAsia="Arial" w:hAnsi="Arial"/>
          <w:color w:val="374151"/>
          <w:sz w:val="22"/>
          <w:szCs w:val="22"/>
        </w:rPr>
        <w:t xml:space="preserve">Any change to the database schema after migrations have been applied to staging</w:t>
      </w:r>
    </w:p>
    <w:p>
      <w:pPr>
        <w:pStyle w:val="ListParagraph"/>
        <w:numPr>
          <w:ilvl w:val="0"/>
          <w:numId w:val="2"/>
        </w:numPr>
        <w:spacing w:before="40" w:after="80"/>
      </w:pPr>
      <w:r>
        <w:rPr>
          <w:rFonts w:ascii="Arial" w:cs="Arial" w:eastAsia="Arial" w:hAnsi="Arial"/>
          <w:color w:val="374151"/>
          <w:sz w:val="22"/>
          <w:szCs w:val="22"/>
        </w:rPr>
        <w:t xml:space="preserve">Any change to the pricing formula, risk scoring weights, or credit limit rules</w:t>
      </w:r>
    </w:p>
    <w:p>
      <w:pPr>
        <w:pStyle w:val="ListParagraph"/>
        <w:numPr>
          <w:ilvl w:val="0"/>
          <w:numId w:val="2"/>
        </w:numPr>
        <w:spacing w:before="40" w:after="80"/>
      </w:pPr>
      <w:r>
        <w:rPr>
          <w:rFonts w:ascii="Arial" w:cs="Arial" w:eastAsia="Arial" w:hAnsi="Arial"/>
          <w:color w:val="374151"/>
          <w:sz w:val="22"/>
          <w:szCs w:val="22"/>
        </w:rPr>
        <w:t xml:space="preserve">Any change to payment processing logic in Module 8</w:t>
      </w:r>
    </w:p>
    <w:p>
      <w:pPr>
        <w:pStyle w:val="ListParagraph"/>
        <w:numPr>
          <w:ilvl w:val="0"/>
          <w:numId w:val="2"/>
        </w:numPr>
        <w:spacing w:before="40" w:after="80"/>
      </w:pPr>
      <w:r>
        <w:rPr>
          <w:rFonts w:ascii="Arial" w:cs="Arial" w:eastAsia="Arial" w:hAnsi="Arial"/>
          <w:color w:val="374151"/>
          <w:sz w:val="22"/>
          <w:szCs w:val="22"/>
        </w:rPr>
        <w:t xml:space="preserve">Any change that affects the audit log format or the fields captured</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What does NOT require this process?</w:t>
      </w:r>
    </w:p>
    <w:p>
      <w:pPr>
        <w:pStyle w:val="ListParagraph"/>
        <w:numPr>
          <w:ilvl w:val="0"/>
          <w:numId w:val="2"/>
        </w:numPr>
        <w:spacing w:before="40" w:after="80"/>
      </w:pPr>
      <w:r>
        <w:rPr>
          <w:rFonts w:ascii="Arial" w:cs="Arial" w:eastAsia="Arial" w:hAnsi="Arial"/>
          <w:color w:val="374151"/>
          <w:sz w:val="22"/>
          <w:szCs w:val="22"/>
        </w:rPr>
        <w:t xml:space="preserve">Bug fixes that restore the system to its specified behaviour</w:t>
      </w:r>
    </w:p>
    <w:p>
      <w:pPr>
        <w:pStyle w:val="ListParagraph"/>
        <w:numPr>
          <w:ilvl w:val="0"/>
          <w:numId w:val="2"/>
        </w:numPr>
        <w:spacing w:before="40" w:after="80"/>
      </w:pPr>
      <w:r>
        <w:rPr>
          <w:rFonts w:ascii="Arial" w:cs="Arial" w:eastAsia="Arial" w:hAnsi="Arial"/>
          <w:color w:val="374151"/>
          <w:sz w:val="22"/>
          <w:szCs w:val="22"/>
        </w:rPr>
        <w:t xml:space="preserve">Security fixes that do not change business logic</w:t>
      </w:r>
    </w:p>
    <w:p>
      <w:pPr>
        <w:pStyle w:val="ListParagraph"/>
        <w:numPr>
          <w:ilvl w:val="0"/>
          <w:numId w:val="2"/>
        </w:numPr>
        <w:spacing w:before="40" w:after="80"/>
      </w:pPr>
      <w:r>
        <w:rPr>
          <w:rFonts w:ascii="Arial" w:cs="Arial" w:eastAsia="Arial" w:hAnsi="Arial"/>
          <w:color w:val="374151"/>
          <w:sz w:val="22"/>
          <w:szCs w:val="22"/>
        </w:rPr>
        <w:t xml:space="preserve">UI/UX improvements that do not change API behaviour</w:t>
      </w:r>
    </w:p>
    <w:p>
      <w:pPr>
        <w:pStyle w:val="ListParagraph"/>
        <w:numPr>
          <w:ilvl w:val="0"/>
          <w:numId w:val="2"/>
        </w:numPr>
        <w:spacing w:before="40" w:after="80"/>
      </w:pPr>
      <w:r>
        <w:rPr>
          <w:rFonts w:ascii="Arial" w:cs="Arial" w:eastAsia="Arial" w:hAnsi="Arial"/>
          <w:color w:val="374151"/>
          <w:sz w:val="22"/>
          <w:szCs w:val="22"/>
        </w:rPr>
        <w:t xml:space="preserve">Performance optimisations that do not change outputs</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Change Request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200"/>
        <w:gridCol w:w="1800"/>
        <w:gridCol w:w="1926"/>
      </w:tblGrid>
      <w:tr>
        <w:tc>
          <w:tcPr>
            <w:tcW w:type="dxa" w:w="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Step</w:t>
            </w:r>
          </w:p>
        </w:tc>
        <w:tc>
          <w:tcPr>
            <w:tcW w:type="dxa" w:w="15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Who</w:t>
            </w:r>
          </w:p>
        </w:tc>
        <w:tc>
          <w:tcPr>
            <w:tcW w:type="dxa" w:w="3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Action</w:t>
            </w:r>
          </w:p>
        </w:tc>
        <w:tc>
          <w:tcPr>
            <w:tcW w:type="dxa" w:w="18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Output</w:t>
            </w:r>
          </w:p>
        </w:tc>
        <w:tc>
          <w:tcPr>
            <w:tcW w:type="dxa" w:w="19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Timeline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 — Request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Anyone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Complete Change Request Form (below) and email to Technical Lead and MD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Completed form</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Within 24 hours of identifying the need</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 — Impact Assessment</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Assess: development effort in days, modules affected, risk to timeline, security implications, compliance implications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Written impact assessment</w:t>
            </w:r>
          </w:p>
        </w:tc>
        <w:tc>
          <w:tcPr>
            <w:tcW w:type="dxa" w:w="19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Within 3 business days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3 — Compliance Review</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For any change touching payments, reporting, or KYC — confirm compliance impact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Written compliance note</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Within 3 business days of impact assessment</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4 — Decision</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Technical Lead</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Review impact assessment. Accept, defer to post-launch, or reject. No change is accepted without both signatures.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Signed decision form</w:t>
            </w:r>
          </w:p>
        </w:tc>
        <w:tc>
          <w:tcPr>
            <w:tcW w:type="dxa" w:w="19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Within 5 business days of request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 — SRS Update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If accepted, update SRS document with new requirement number. Update openapi.yaml if API changes.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Updated SRS + openapi.yaml</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Before development begins</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6 — Implementation</w:t>
            </w:r>
          </w:p>
        </w:tc>
        <w:tc>
          <w:tcPr>
            <w:tcW w:type="dxa" w:w="1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Developer</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Implement the change following all normal development standards. Reference the change request ID in commit messages.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 with change request ID</w:t>
            </w:r>
          </w:p>
        </w:tc>
        <w:tc>
          <w:tcPr>
            <w:tcW w:type="dxa" w:w="19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Per sprint plan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7 — Verification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Verify the implemented change matches the approved scope exactly — no additional changes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Signed verification form</w:t>
            </w:r>
          </w:p>
        </w:tc>
        <w:tc>
          <w:tcPr>
            <w:tcW w:type="dxa" w:w="1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On PR review</w:t>
            </w:r>
          </w:p>
        </w:tc>
      </w:tr>
    </w:tbl>
    <w:p>
      <w:pPr>
        <w:spacing w:before="0" w:after="16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Change Request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Field</w:t>
            </w:r>
          </w:p>
        </w:tc>
        <w:tc>
          <w:tcPr>
            <w:tcW w:type="dxa" w:w="64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Content to complete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Change Request ID</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CR-[YEAR]-[NUMBER] e.g. CR-2026-001</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Date submitted</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Requested by</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Name and role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Description of change</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What needs to change and what currently exists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Business justification</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Why this change is needed — what problem does it solve?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Which SRS requirements are affected</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List all REQ-MODULE-NUMBER values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Which modules are affected</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List all affected modules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Priority</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Critical (blocks go-live) / High (needed for Gate 2) / Medium / Low</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Requested by date</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When does this need to be implemented?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signature</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 signature</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 signature (if applicable)</w:t>
            </w:r>
          </w:p>
        </w:tc>
        <w:tc>
          <w:tcPr>
            <w:tcW w:type="dxa" w:w="64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5. Stakeholder Communication Plan</w:t>
      </w:r>
    </w:p>
    <w:p>
      <w:pPr>
        <w:spacing w:before="60" w:after="100"/>
        <w:jc w:val="left"/>
      </w:pPr>
      <w:r>
        <w:rPr>
          <w:rFonts w:ascii="Arial" w:cs="Arial" w:eastAsia="Arial" w:hAnsi="Arial"/>
          <w:b w:val="false"/>
          <w:bCs w:val="false"/>
          <w:i w:val="false"/>
          <w:iCs w:val="false"/>
          <w:color w:val="374151"/>
          <w:sz w:val="22"/>
          <w:szCs w:val="22"/>
        </w:rPr>
        <w:t xml:space="preserve">Clear communication prevents the most damaging project failures: stakeholders who feel out of the loop, technical teams who receive contradictory direction, and compliance officers who discover issues too late to address them. This plan defines who receives what information, when, and in what format.</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Stakeholder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626"/>
      </w:tblGrid>
      <w:tr>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Stakeholder</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Interest in MMS</w:t>
            </w:r>
          </w:p>
        </w:tc>
        <w:tc>
          <w:tcPr>
            <w:tcW w:type="dxa" w:w="1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Influence level</w:t>
            </w:r>
          </w:p>
        </w:tc>
        <w:tc>
          <w:tcPr>
            <w:tcW w:type="dxa" w:w="2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Primary concern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Managing Director / CEO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Full — responsible for business outcomes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 — final decision authority</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Timeline, cost, regulatory compliance, bank facility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Board of Directors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Strategic — approves Gate 3 launch and major decisions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 — approve major decisions</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Risk exposure, regulatory standing, financial viability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 / CTO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Full — responsible for build quality and timeline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 — technical decisions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Code quality, security, team capacity, technical risk</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Lead Backend Developer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Full — builds the core system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Medium — technical input</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Clear requirements, stable architecture, code review turnaround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Regulatory — responsible for AML/KYC and data protection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 — can block go-live</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AML compliance, PDPA compliance, audit trail quality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Ugandan Financial Lawyer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Regulatory — provides legal opinions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 on legal decisions</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Licensing, contractual risk, regulatory exposure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Primary Bank (credit facility)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Financial — assesses MMS for credit facility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High on facility approval</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Risk controls, audit trail, collateral quality, management quality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Pilot Suppliers (Gate 1)</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Direct users — will experience any early issues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Low — but critical for reputation</w:t>
            </w:r>
          </w:p>
        </w:tc>
        <w:tc>
          <w:tcPr>
            <w:tcW w:type="dxa" w:w="2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Payment reliability, ease of use, transparency of fees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Pilot Buyers (Gate 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Direct users — must confirm invoices within 48 hours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Low — but critical for process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Clarity of confirmation request, ease of response</w:t>
            </w:r>
          </w:p>
        </w:tc>
      </w:tr>
    </w:tbl>
    <w:p>
      <w:pPr>
        <w:spacing w:before="0" w:after="16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Communication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200"/>
        <w:gridCol w:w="1200"/>
        <w:gridCol w:w="1626"/>
      </w:tblGrid>
      <w:tr>
        <w:tc>
          <w:tcPr>
            <w:tcW w:type="dxa" w:w="2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Meeting / Update</w:t>
            </w:r>
          </w:p>
        </w:tc>
        <w:tc>
          <w:tcPr>
            <w:tcW w:type="dxa" w:w="1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Frequency</w:t>
            </w:r>
          </w:p>
        </w:tc>
        <w:tc>
          <w:tcPr>
            <w:tcW w:type="dxa" w:w="1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Attendees</w:t>
            </w:r>
          </w:p>
        </w:tc>
        <w:tc>
          <w:tcPr>
            <w:tcW w:type="dxa" w:w="1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Format</w:t>
            </w:r>
          </w:p>
        </w:tc>
        <w:tc>
          <w:tcPr>
            <w:tcW w:type="dxa" w:w="1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Owner</w:t>
            </w:r>
          </w:p>
        </w:tc>
        <w:tc>
          <w:tcPr>
            <w:tcW w:type="dxa" w:w="1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Monday sprint standup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Weekly — every Monday 9am Uganda time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developers + Technical Lead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30-minute call or in-person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Review last week's completion, plan current week, flag blockers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Risk register review</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Weekly — part of Monday standup</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 + Compliance Officer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15 minutes, update register live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Review all risks, update statuses, assign new mitigations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progress update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Bi-weekly — every 2nd Wednesday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Technical Lead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30-minute call, written summary emailed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Milestone progress, budget status, decisions needed from MD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review</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Monthly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Compliance Officer + Lawyer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60-minute meeting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w:t>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AML/KYC status, regulatory updates, Data Protection compliance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Board update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At each Gate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Board + MD + Technical Lead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Written report + 30-minute presentation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w:t>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Gate completion status, risk summary, financial projections, next gate plan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Bank update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Monthly during build, then quarterly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Technical Lead + Bank relationship manager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60-minute meeting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w:t>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Architecture progress, risk controls, timeline to live, facility timing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Pilot supplier brief</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Before Gate 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Operations + Pilot suppliers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60-minute onboarding session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Operations</w:t>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System walkthrough, how to submit invoices, what to expect, support contact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Incident notification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Immediately when incident occurs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All stakeholders relevant to incident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Phone call + written incident report within 2 hours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w:t>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Describe incident, immediate actions taken, resolution timeline, regulatory implications</w:t>
            </w:r>
          </w:p>
        </w:tc>
      </w:tr>
    </w:tbl>
    <w:p>
      <w:pPr>
        <w:spacing w:before="0" w:after="16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Written Status Report Template — Bi-Weekly</w:t>
      </w:r>
    </w:p>
    <w:p>
      <w:pPr>
        <w:spacing w:before="60" w:after="100"/>
        <w:jc w:val="left"/>
      </w:pPr>
      <w:r>
        <w:rPr>
          <w:rFonts w:ascii="Arial" w:cs="Arial" w:eastAsia="Arial" w:hAnsi="Arial"/>
          <w:b w:val="false"/>
          <w:bCs w:val="false"/>
          <w:i w:val="false"/>
          <w:iCs w:val="false"/>
          <w:color w:val="374151"/>
          <w:sz w:val="22"/>
          <w:szCs w:val="22"/>
        </w:rPr>
        <w:t xml:space="preserve">The Technical Lead sends this report to the MD every two weeks. It should take no more than 30 minutes to write and no more than 10 minutes to read.</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Section</w:t>
            </w:r>
          </w:p>
        </w:tc>
        <w:tc>
          <w:tcPr>
            <w:tcW w:type="dxa" w:w="6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Period covered</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Dates this report covers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Overall status</w:t>
            </w:r>
          </w:p>
        </w:tc>
        <w:tc>
          <w:tcPr>
            <w:tcW w:type="dxa" w:w="6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GREEN (on track) / AMBER (minor issues, plan in place) / RED (off track, needs MD attention)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Milestones completed this period</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List each milestone achieved with date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Milestones planned for next period</w:t>
            </w:r>
          </w:p>
        </w:tc>
        <w:tc>
          <w:tcPr>
            <w:tcW w:type="dxa" w:w="6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List each milestone planned with target 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Risks escalated to MD</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Any risk with score 6+ that requires MD decision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Decisions needed from MD</w:t>
            </w:r>
          </w:p>
        </w:tc>
        <w:tc>
          <w:tcPr>
            <w:tcW w:type="dxa" w:w="6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Specific questions requiring MD answer before work can continue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Budget status</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Spend to date vs budget. Flag if within 10% of budget overrun.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Team status</w:t>
            </w:r>
          </w:p>
        </w:tc>
        <w:tc>
          <w:tcPr>
            <w:tcW w:type="dxa" w:w="6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Any team capacity issues, upcoming leave, contractor needs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Regulatory update</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Any news from lawyer, Bank of Uganda, or FIA since last report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t>Workflow alignment status</w:t>
            </w:r>
          </w:p>
        </w:tc>
        <w:tc>
          <w:tcPr>
            <w:tcW w:type="dxa" w:w="6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r>
            <w:r>
              <w:t>Status of the 4 workflow gates: (1) Eligibility check built and tested, (2) Collateral gate enforced before disbursement, (3) 72h SLA timer running from approval_timestamp, (4) Settlement ledger created on every collection. Flag any gate not yet enforced.</w:t>
            </w:r>
          </w:p>
        </w:tc>
      </w:tr>
    </w:tbl>
    <w:p>
      <w:pPr>
        <w:spacing w:before="0" w:after="0"/>
      </w:pPr>
      <w:r>
        <w:br w:type="page"/>
      </w:r>
    </w:p>
    <w:p>
      <w:pPr>
        <w:pStyle w:val="Heading1"/>
        <w:pBdr>
          <w:bottom w:val="single" w:color="1D4ED8" w:sz="12" w:space="6"/>
        </w:pBdr>
        <w:spacing w:before="480" w:after="160"/>
      </w:pPr>
      <w:r>
        <w:rPr>
          <w:rFonts w:ascii="Arial" w:cs="Arial" w:eastAsia="Arial" w:hAnsi="Arial"/>
          <w:b/>
          <w:bCs/>
          <w:color w:val="1A3A5C"/>
          <w:sz w:val="40"/>
          <w:szCs w:val="40"/>
        </w:rPr>
        <w:t xml:space="preserve">6. Definition of Done — The Standard Every Stakeholder Signs</w:t>
      </w:r>
    </w:p>
    <w:p>
      <w:pPr>
        <w:spacing w:before="60" w:after="100"/>
        <w:jc w:val="left"/>
      </w:pPr>
      <w:r>
        <w:rPr>
          <w:rFonts w:ascii="Arial" w:cs="Arial" w:eastAsia="Arial" w:hAnsi="Arial"/>
          <w:b w:val="false"/>
          <w:bCs w:val="false"/>
          <w:i w:val="false"/>
          <w:iCs w:val="false"/>
          <w:color w:val="374151"/>
          <w:sz w:val="22"/>
          <w:szCs w:val="22"/>
        </w:rPr>
        <w:t xml:space="preserve">This is the single authoritative Definition of Done for the MMS project. All stakeholders — MD, Technical Lead, Compliance Officer — have signed this page. 'Done' means exactly what is written here. Nothing more. Nothing less.</w:t>
      </w:r>
    </w:p>
    <w:p>
      <w:pPr>
        <w:spacing w:before="0" w:after="14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Phase Definitions of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26"/>
      </w:tblGrid>
      <w:tr>
        <w:tc>
          <w:tcPr>
            <w:tcW w:type="dxa" w:w="22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Phase</w:t>
            </w:r>
          </w:p>
        </w:tc>
        <w:tc>
          <w:tcPr>
            <w:tcW w:type="dxa" w:w="50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Done when...</w:t>
            </w:r>
          </w:p>
        </w:tc>
        <w:tc>
          <w:tcPr>
            <w:tcW w:type="dxa" w:w="18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Signed off by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0 — Pre-Build</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Legal opinion received in writing. Regulatory pathway documented. MTN + Airtel sandbox access confirmed. Team contracted. Bank meeting confirmed.</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1 — Requirements</w:t>
            </w:r>
          </w:p>
        </w:tc>
        <w:tc>
          <w:tcPr>
            <w:tcW w:type="dxa" w:w="5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SRS signed by MD, Technical Lead, and Compliance Officer. All team members have read and confirmed understanding of their modules' requirements.</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Tech Lead + Compliance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2 — Architecture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Architecture diagrams drawn and in /docs/. SQL migration runs clean on fresh database. ADRs written. Architecture presented to bank.</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3 — Design</w:t>
            </w:r>
          </w:p>
        </w:tc>
        <w:tc>
          <w:tcPr>
            <w:tcW w:type="dxa" w:w="5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openapi.yaml committed and imported to Postman. SOLID patterns documented. PR template live in GitHub.</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4 — Scaffold</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Health endpoint returns ok. All security middleware active from first commit. All developers have running local environments and have signed Developer Handbook.</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5 — Implementation</w:t>
            </w:r>
          </w:p>
        </w:tc>
        <w:tc>
          <w:tcPr>
            <w:tcW w:type="dxa" w:w="5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All 13 modules (Module 0, Modules 1–11, Module 8b) meet Module-Level Definition of Done (see Developer Handbook Section 5). All modules deployed to develop branch and passing CI.</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6 — Testing</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80%+ coverage on all modules. 95%+ on Modules 5 and 8. All integration tests passing. k6 performance tests passing all SLA thresholds.</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7 — Security</w:t>
            </w:r>
          </w:p>
        </w:tc>
        <w:tc>
          <w:tcPr>
            <w:tcW w:type="dxa" w:w="5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Signed OWASP Top 10 audit document. Signed AML compliance document. Signed PDPA compliance document. No HIGH penetration test findings.</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 + Tech Lead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8 — Deployment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CI/CD pipeline all stages passing. Staging live with HTTPS. Monitoring alerts configured and tested. Backup restore verified.</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Phase 9 — Documentation</w:t>
            </w:r>
          </w:p>
        </w:tc>
        <w:tc>
          <w:tcPr>
            <w:tcW w:type="dxa" w:w="5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docs complete. User guides reviewed by real users in each role. Swagger UI live.</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Gate 1 — Closed Pilot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5+ invoice cycles completed. Zero payment errors. MD and Compliance Officer sign Gate 1 form.</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Compliance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Gate 2 — Expansion</w:t>
            </w:r>
          </w:p>
        </w:tc>
        <w:tc>
          <w:tcPr>
            <w:tcW w:type="dxa" w:w="5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28 days with no critical incidents. External penetration test clean. Bank facility confirmed.</w:t>
            </w:r>
          </w:p>
        </w:tc>
        <w:tc>
          <w:tcPr>
            <w:tcW w:type="dxa" w:w="18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MD + Compliance + Lawyer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Gate 3 — Full Launch</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Board resolution signed. Independent audit clean. Insurance in place. BOU position confirmed.</w:t>
            </w:r>
          </w:p>
        </w:tc>
        <w:tc>
          <w:tcPr>
            <w:tcW w:type="dxa" w:w="1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Board + MD + Compliance + Lawyer</w:t>
            </w:r>
          </w:p>
        </w:tc>
      </w:tr>
    </w:tbl>
    <w:p>
      <w:pPr>
        <w:spacing w:before="0" w:after="200"/>
      </w:pPr>
      <w:r>
        <w:t xml:space="preserve"/>
      </w:r>
    </w:p>
    <w:p>
      <w:pPr>
        <w:pStyle w:val="Heading2"/>
        <w:pBdr>
          <w:bottom w:val="single" w:color="D1D5DB" w:sz="4" w:space="4"/>
        </w:pBdr>
        <w:spacing w:before="320" w:after="120"/>
      </w:pPr>
      <w:r>
        <w:rPr>
          <w:rFonts w:ascii="Arial" w:cs="Arial" w:eastAsia="Arial" w:hAnsi="Arial"/>
          <w:b/>
          <w:bCs/>
          <w:color w:val="1A3A5C"/>
          <w:sz w:val="28"/>
          <w:szCs w:val="28"/>
        </w:rPr>
        <w:t xml:space="preserve">Project-Level Sign-Off — All Stakeholders</w:t>
      </w:r>
    </w:p>
    <w:p>
      <w:pPr>
        <w:spacing w:before="60" w:after="100"/>
        <w:jc w:val="left"/>
      </w:pPr>
      <w:r>
        <w:rPr>
          <w:rFonts w:ascii="Arial" w:cs="Arial" w:eastAsia="Arial" w:hAnsi="Arial"/>
          <w:b w:val="false"/>
          <w:bCs w:val="false"/>
          <w:i w:val="false"/>
          <w:iCs w:val="false"/>
          <w:color w:val="374151"/>
          <w:sz w:val="22"/>
          <w:szCs w:val="22"/>
        </w:rPr>
        <w:t xml:space="preserve">The undersigned confirm they have read and agree to the contents of this Project Management Pack including the Risk Register, RACI Matrix, Sprint Plan, Change Control Process, Stakeholder Communication Plan, and Definition of Done.</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626"/>
      </w:tblGrid>
      <w:tr>
        <w:tc>
          <w:tcPr>
            <w:tcW w:type="dxa" w:w="26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Role</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Full name</w:t>
            </w:r>
          </w:p>
        </w:tc>
        <w:tc>
          <w:tcPr>
            <w:tcW w:type="dxa" w:w="2400"/>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Signature</w:t>
            </w:r>
          </w:p>
        </w:tc>
        <w:tc>
          <w:tcPr>
            <w:tcW w:type="dxa" w:w="1626"/>
            <w:tcBorders>
              <w:top w:val="single" w:color="1A3A5C" w:sz="2"/>
              <w:left w:val="single" w:color="1A3A5C" w:sz="2"/>
              <w:bottom w:val="single" w:color="1A3A5C" w:sz="2"/>
              <w:right w:val="single" w:color="1A3A5C" w:sz="2"/>
            </w:tcBorders>
            <w:shd w:fill="1A3A5C" w:val="clear"/>
            <w:tcMar>
              <w:top w:type="dxa" w:w="100"/>
              <w:left w:type="dxa" w:w="140"/>
              <w:bottom w:type="dxa" w:w="100"/>
              <w:right w:type="dxa" w:w="100"/>
            </w:tcMar>
          </w:tcPr>
          <w:p>
            <w:pPr>
              <w:spacing w:before="0" w:after="0"/>
            </w:pPr>
            <w:r>
              <w:rPr>
                <w:rFonts w:ascii="Arial" w:cs="Arial" w:eastAsia="Arial" w:hAnsi="Arial"/>
                <w:b/>
                <w:bCs/>
                <w:color w:val="FFFFFF"/>
                <w:sz w:val="20"/>
                <w:szCs w:val="20"/>
              </w:rPr>
              <w:t xml:space="preserve">Date signed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Managing Director / CEO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Technical Lead / CTO</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Compliance Officer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Domain Expert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1626"/>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Ugandan Financial Lawyer (confirming regulatory section reviewed)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c>
          <w:tcPr>
            <w:tcW w:type="dxa" w:w="1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pPr>
              <w:spacing w:before="0" w:after="0"/>
            </w:pPr>
            <w:r>
              <w:rPr>
                <w:rFonts w:ascii="Arial" w:cs="Arial" w:eastAsia="Arial" w:hAnsi="Arial"/>
                <w:color w:val="374151"/>
                <w:sz w:val="20"/>
                <w:szCs w:val="20"/>
              </w:rPr>
              <w:t xml:space="preserve"/>
            </w:r>
          </w:p>
        </w:tc>
      </w:tr>
    </w:tbl>
    <w:p>
      <w:pPr>
        <w:spacing w:before="0" w:after="200"/>
      </w:pPr>
      <w:r>
        <w:t xml:space="preserve"/>
      </w:r>
    </w:p>
    <w:p>
      <w:pPr>
        <w:spacing w:before="0" w:after="60"/>
        <w:jc w:val="center"/>
      </w:pPr>
      <w:r>
        <w:rPr>
          <w:rFonts w:ascii="Arial" w:cs="Arial" w:eastAsia="Arial" w:hAnsi="Arial"/>
          <w:color w:val="6B7280"/>
          <w:sz w:val="20"/>
          <w:szCs w:val="20"/>
        </w:rPr>
        <w:t xml:space="preserve">MMS Project Management Pack v1.0 — 19 March 2026</w:t>
      </w:r>
    </w:p>
    <w:p>
      <w:pPr>
        <w:spacing w:before="0" w:after="0"/>
        <w:jc w:val="center"/>
      </w:pPr>
      <w:r>
        <w:rPr>
          <w:rFonts w:ascii="Arial" w:cs="Arial" w:eastAsia="Arial" w:hAnsi="Arial"/>
          <w:color w:val="BBBBBB"/>
          <w:sz w:val="18"/>
          <w:szCs w:val="18"/>
        </w:rPr>
        <w:t xml:space="preserve">Review this document every Monday. Update risk statuses. This is a living document — not an archive.</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after="0"/>
      <w:jc w:val="center"/>
    </w:pPr>
    <w:r>
      <w:rPr>
        <w:rFonts w:ascii="Arial" w:cs="Arial" w:eastAsia="Arial" w:hAnsi="Arial"/>
        <w:color w:val="AAAAAA"/>
        <w:sz w:val="16"/>
        <w:szCs w:val="16"/>
      </w:rPr>
      <w:t xml:space="preserve">Confidential — MMS Invoice Discounting Platform | Project Management Pack | Living Document — Update Weekly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before="0" w:after="120"/>
    </w:pPr>
    <w:r>
      <w:rPr>
        <w:rFonts w:ascii="Arial" w:cs="Arial" w:eastAsia="Arial" w:hAnsi="Arial"/>
        <w:color w:val="6B7280"/>
        <w:sz w:val="18"/>
        <w:szCs w:val="18"/>
      </w:rPr>
      <w:t xml:space="preserve">MMS Project Management Pack v1.0 — Review Weekly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D4ED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2026-03-19T13:11:21.379Z</dcterms:created>
  <dcterms:modified xsi:type="dcterms:W3CDTF">2026-03-19T13:11:21.379Z</dcterms:modified>
</cp:coreProperties>
</file>

<file path=docProps/custom.xml><?xml version="1.0" encoding="utf-8"?>
<Properties xmlns="http://schemas.openxmlformats.org/officeDocument/2006/custom-properties" xmlns:vt="http://schemas.openxmlformats.org/officeDocument/2006/docPropsVTypes"/>
</file>